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9407" w14:textId="61E6C62F" w:rsidR="00DA6B27" w:rsidRDefault="00DA6B27" w:rsidP="00DA6B27">
      <w:r>
        <w:t>Departamento de Educación de California</w:t>
      </w:r>
      <w:r>
        <w:br/>
      </w:r>
      <w:proofErr w:type="gramStart"/>
      <w:r>
        <w:t>Marzo</w:t>
      </w:r>
      <w:proofErr w:type="gramEnd"/>
      <w:r>
        <w:t xml:space="preserve"> 2021</w:t>
      </w:r>
    </w:p>
    <w:p w14:paraId="35C9F089" w14:textId="46339C72" w:rsidR="008E3405" w:rsidRDefault="00B67BA0" w:rsidP="003461B3">
      <w:pPr>
        <w:pStyle w:val="Heading1"/>
        <w:spacing w:before="360" w:after="240"/>
      </w:pPr>
      <w:bookmarkStart w:id="0" w:name="_Hlk67488563"/>
      <w:bookmarkStart w:id="1" w:name="_Hlk74319429"/>
      <w:r>
        <w:t>Pla</w:t>
      </w:r>
      <w:bookmarkEnd w:id="0"/>
      <w:r w:rsidR="00651050">
        <w:t>n</w:t>
      </w:r>
      <w:r w:rsidR="00651050" w:rsidRPr="00651050">
        <w:t xml:space="preserve"> </w:t>
      </w:r>
      <w:r w:rsidR="00643775" w:rsidRPr="00643775">
        <w:t>de Subvención</w:t>
      </w:r>
      <w:r w:rsidR="00643775">
        <w:t xml:space="preserve"> para</w:t>
      </w:r>
      <w:r w:rsidR="00651050" w:rsidRPr="00651050">
        <w:t xml:space="preserve"> Oportunidades de Aprendizaje Ampliado</w:t>
      </w:r>
      <w:bookmarkEnd w:id="1"/>
    </w:p>
    <w:tbl>
      <w:tblPr>
        <w:tblW w:w="5000" w:type="pct"/>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ayout w:type="fixed"/>
        <w:tblCellMar>
          <w:top w:w="29" w:type="dxa"/>
          <w:left w:w="29" w:type="dxa"/>
          <w:bottom w:w="29" w:type="dxa"/>
          <w:right w:w="29" w:type="dxa"/>
        </w:tblCellMar>
        <w:tblLook w:val="0420" w:firstRow="1" w:lastRow="0" w:firstColumn="0" w:lastColumn="0" w:noHBand="0" w:noVBand="1"/>
        <w:tblDescription w:val="General information, including Local Educational Agency, Contact Name and Title, and Email and Phone."/>
      </w:tblPr>
      <w:tblGrid>
        <w:gridCol w:w="5293"/>
        <w:gridCol w:w="5309"/>
        <w:gridCol w:w="3788"/>
      </w:tblGrid>
      <w:tr w:rsidR="00B76F12" w14:paraId="44671114" w14:textId="77777777" w:rsidTr="000F79EA">
        <w:trPr>
          <w:cantSplit/>
          <w:trHeight w:val="650"/>
          <w:tblHeader/>
        </w:trPr>
        <w:tc>
          <w:tcPr>
            <w:tcW w:w="5293" w:type="dxa"/>
            <w:shd w:val="clear" w:color="auto" w:fill="FFFF79"/>
            <w:vAlign w:val="center"/>
          </w:tcPr>
          <w:p w14:paraId="34B58E50" w14:textId="77777777" w:rsidR="00B76F12" w:rsidRDefault="003069C9">
            <w:pPr>
              <w:tabs>
                <w:tab w:val="left" w:pos="5093"/>
              </w:tabs>
              <w:rPr>
                <w:b/>
                <w:color w:val="000000"/>
              </w:rPr>
            </w:pPr>
            <w:r>
              <w:rPr>
                <w:b/>
                <w:color w:val="000000"/>
              </w:rPr>
              <w:t>Nombre de la Agencia Educativa Local (LEA):</w:t>
            </w:r>
          </w:p>
        </w:tc>
        <w:tc>
          <w:tcPr>
            <w:tcW w:w="5309" w:type="dxa"/>
            <w:shd w:val="clear" w:color="auto" w:fill="FFFF79"/>
            <w:vAlign w:val="center"/>
          </w:tcPr>
          <w:p w14:paraId="342173DF" w14:textId="77777777" w:rsidR="00B76F12" w:rsidRDefault="003069C9">
            <w:pPr>
              <w:tabs>
                <w:tab w:val="left" w:pos="5093"/>
              </w:tabs>
              <w:rPr>
                <w:b/>
                <w:color w:val="000000"/>
              </w:rPr>
            </w:pPr>
            <w:r>
              <w:rPr>
                <w:b/>
                <w:color w:val="000000"/>
              </w:rPr>
              <w:t>Nombre y título del contacto</w:t>
            </w:r>
          </w:p>
        </w:tc>
        <w:tc>
          <w:tcPr>
            <w:tcW w:w="3788" w:type="dxa"/>
            <w:shd w:val="clear" w:color="auto" w:fill="FFFF79"/>
            <w:vAlign w:val="center"/>
          </w:tcPr>
          <w:p w14:paraId="0266FF91" w14:textId="77777777" w:rsidR="00B76F12" w:rsidRDefault="003069C9">
            <w:pPr>
              <w:tabs>
                <w:tab w:val="left" w:pos="5093"/>
              </w:tabs>
              <w:rPr>
                <w:b/>
                <w:color w:val="000000"/>
              </w:rPr>
            </w:pPr>
            <w:r>
              <w:rPr>
                <w:b/>
                <w:color w:val="000000"/>
              </w:rPr>
              <w:t>Correo electrónico y teléfono</w:t>
            </w:r>
          </w:p>
        </w:tc>
      </w:tr>
      <w:tr w:rsidR="00B76F12" w14:paraId="0890259B" w14:textId="77777777" w:rsidTr="000F79EA">
        <w:trPr>
          <w:cantSplit/>
          <w:trHeight w:val="770"/>
        </w:trPr>
        <w:tc>
          <w:tcPr>
            <w:tcW w:w="5293" w:type="dxa"/>
            <w:shd w:val="clear" w:color="auto" w:fill="auto"/>
            <w:vAlign w:val="center"/>
          </w:tcPr>
          <w:p w14:paraId="4106F6F9" w14:textId="7CC27AC5" w:rsidR="00B76F12" w:rsidRDefault="00F10498">
            <w:pPr>
              <w:tabs>
                <w:tab w:val="left" w:pos="5093"/>
              </w:tabs>
              <w:rPr>
                <w:color w:val="000000"/>
              </w:rPr>
            </w:pPr>
            <w:r>
              <w:rPr>
                <w:color w:val="000000"/>
              </w:rPr>
              <w:t xml:space="preserve">Eastside </w:t>
            </w:r>
            <w:proofErr w:type="spellStart"/>
            <w:r>
              <w:rPr>
                <w:color w:val="000000"/>
              </w:rPr>
              <w:t>Union</w:t>
            </w:r>
            <w:proofErr w:type="spellEnd"/>
            <w:r>
              <w:rPr>
                <w:color w:val="000000"/>
              </w:rPr>
              <w:t xml:space="preserve"> </w:t>
            </w:r>
            <w:proofErr w:type="spellStart"/>
            <w:r>
              <w:rPr>
                <w:color w:val="000000"/>
              </w:rPr>
              <w:t>School</w:t>
            </w:r>
            <w:proofErr w:type="spellEnd"/>
            <w:r>
              <w:rPr>
                <w:color w:val="000000"/>
              </w:rPr>
              <w:t xml:space="preserve"> </w:t>
            </w:r>
            <w:proofErr w:type="spellStart"/>
            <w:r>
              <w:rPr>
                <w:color w:val="000000"/>
              </w:rPr>
              <w:t>District</w:t>
            </w:r>
            <w:proofErr w:type="spellEnd"/>
          </w:p>
        </w:tc>
        <w:tc>
          <w:tcPr>
            <w:tcW w:w="5309" w:type="dxa"/>
            <w:shd w:val="clear" w:color="auto" w:fill="auto"/>
            <w:vAlign w:val="center"/>
          </w:tcPr>
          <w:p w14:paraId="433D7C9B" w14:textId="170C9EF3" w:rsidR="00B76F12" w:rsidRDefault="00896A7C">
            <w:pPr>
              <w:tabs>
                <w:tab w:val="left" w:pos="5093"/>
              </w:tabs>
              <w:rPr>
                <w:color w:val="000000"/>
              </w:rPr>
            </w:pPr>
            <w:r>
              <w:rPr>
                <w:color w:val="000000"/>
              </w:rPr>
              <w:t>Dr. Joshua Lightle, Superintendente</w:t>
            </w:r>
          </w:p>
        </w:tc>
        <w:tc>
          <w:tcPr>
            <w:tcW w:w="3788" w:type="dxa"/>
            <w:shd w:val="clear" w:color="auto" w:fill="auto"/>
            <w:vAlign w:val="center"/>
          </w:tcPr>
          <w:p w14:paraId="1CF27E88" w14:textId="3865EED5" w:rsidR="00B76F12" w:rsidRDefault="008E3A0D">
            <w:pPr>
              <w:tabs>
                <w:tab w:val="left" w:pos="5093"/>
              </w:tabs>
              <w:rPr>
                <w:color w:val="000000"/>
              </w:rPr>
            </w:pPr>
            <w:hyperlink r:id="rId12" w:history="1">
              <w:r w:rsidR="00D6614A">
                <w:rPr>
                  <w:rStyle w:val="Hyperlink"/>
                </w:rPr>
                <w:t>jlightle@eastsideusd.org</w:t>
              </w:r>
            </w:hyperlink>
          </w:p>
          <w:p w14:paraId="28E23175" w14:textId="6A876C7B" w:rsidR="007D58BC" w:rsidRDefault="00C1327F">
            <w:pPr>
              <w:tabs>
                <w:tab w:val="left" w:pos="5093"/>
              </w:tabs>
              <w:rPr>
                <w:color w:val="000000"/>
              </w:rPr>
            </w:pPr>
            <w:r>
              <w:rPr>
                <w:color w:val="000000"/>
              </w:rPr>
              <w:t>(661) 952 - 1200</w:t>
            </w:r>
          </w:p>
        </w:tc>
      </w:tr>
    </w:tbl>
    <w:p w14:paraId="4CF1203E" w14:textId="790E0EA4" w:rsidR="00903D03" w:rsidRPr="004D06FB" w:rsidRDefault="00397C6D" w:rsidP="00B04B38">
      <w:pPr>
        <w:spacing w:before="120" w:after="120"/>
        <w:rPr>
          <w:rFonts w:eastAsia="Times New Roman"/>
          <w:color w:val="000000" w:themeColor="text1"/>
        </w:rPr>
      </w:pPr>
      <w:r>
        <w:rPr>
          <w:color w:val="000000" w:themeColor="text1"/>
        </w:rPr>
        <w:t>A continuación se presenta el plan de la agencia educativa local (LEA) para proporcionar instrucción suplementaria y apoyo a los estudiantes, incluyendo aquellos identificados como necesitados de apoyo académico, socio-emocional y otros, incluyendo la provisión de comidas y bocadillos. El plan explicará cómo la LEA utilizará los fondos que reciba a través de la subvención para la ampliación de las oportunidades de aprendizaje (ELO, por sus siglas en inglés) para implementar un programa de recuperación del aprendizaje para al menos los estudiantes incluidos en uno o más de los siguientes grupos: estudiantes de bajos ingresos, aprendices de inglés, jóvenes de crianza, estudiantes sin hogar, estudiantes con discapacidades, estudiantes en riesgo de abuso, negligencia o explotación, estudiantes desconectados y estudiantes que están por debajo del nivel de grado, incluyendo, pero no limitado a, aquellos que no se inscribieron en kindergarten en el año escolar 2020-21, estudiantes con falta de crédito, estudiantes de secundaria en riesgo de no graduarse y otros estudiantes identificados por el personal titulado.</w:t>
      </w:r>
    </w:p>
    <w:p w14:paraId="1CFF6575" w14:textId="65CA63BF" w:rsidR="00357B9A" w:rsidRPr="009B65BA" w:rsidRDefault="00CD3AFB" w:rsidP="4F7BA9F7">
      <w:pPr>
        <w:spacing w:before="120" w:after="120"/>
        <w:rPr>
          <w:rFonts w:eastAsia="Times New Roman"/>
          <w:color w:val="000000"/>
        </w:rPr>
      </w:pPr>
      <w:r>
        <w:rPr>
          <w:color w:val="000000" w:themeColor="text1"/>
        </w:rPr>
        <w:t xml:space="preserve">Para conocer los requisitos específicos, consulte las instrucciones del </w:t>
      </w:r>
      <w:r w:rsidR="00643775" w:rsidRPr="00643775">
        <w:rPr>
          <w:color w:val="000000" w:themeColor="text1"/>
        </w:rPr>
        <w:t>Plan de Subvención para Oportunidades de Aprendizaje Ampliado</w:t>
      </w:r>
      <w:r>
        <w:rPr>
          <w:color w:val="000000" w:themeColor="text1"/>
        </w:rPr>
        <w:t>.</w:t>
      </w:r>
    </w:p>
    <w:p w14:paraId="0CE3EB2F" w14:textId="3A4D9BE2" w:rsidR="00B76F12" w:rsidRPr="008E3405" w:rsidRDefault="004810E6" w:rsidP="0082773A">
      <w:pPr>
        <w:pStyle w:val="Heading2"/>
      </w:pPr>
      <w:r>
        <w:t>Descripciones del plan</w:t>
      </w:r>
    </w:p>
    <w:p w14:paraId="60CAB7AC" w14:textId="77777777" w:rsidR="009534E0" w:rsidRPr="00C85158" w:rsidRDefault="009534E0" w:rsidP="009534E0">
      <w:pPr>
        <w:spacing w:before="240" w:after="60"/>
        <w:rPr>
          <w:rFonts w:eastAsia="Calibri"/>
          <w:b/>
          <w:bCs/>
          <w:color w:val="000000"/>
          <w:szCs w:val="24"/>
        </w:rPr>
      </w:pPr>
      <w:bookmarkStart w:id="2" w:name="_Hlk57626794"/>
      <w:r>
        <w:rPr>
          <w:b/>
          <w:bCs/>
          <w:color w:val="000000"/>
          <w:szCs w:val="24"/>
        </w:rPr>
        <w:t>Una descripción de cómo los padres, maestros y personal de la escuela participaron en el desarrollo del plan.</w:t>
      </w:r>
    </w:p>
    <w:p w14:paraId="3DE21D56" w14:textId="77777777" w:rsidR="00C85158" w:rsidRPr="00A35D48" w:rsidRDefault="00C85158" w:rsidP="00C85158">
      <w:r>
        <w:t xml:space="preserve">El desarrollo de la subvención para la ampliación de las oportunidades de aprendizaje para proporcionar instrucción suplementaria y apoyo a los estudiantes, incluyendo aquellos identificados como necesitados de apoyo académico, socio-emocional y otros, incluyendo la provisión de comidas y bocadillos, incluyó la aportación de cada uno de los siguientes grupos: la unidad de negociación certificada, la unidad de negociación clasificada, el Consejo Escolar (SSC), el Comité Asesor del Distrito Escolar del Aprendiz de Inglés (DELAC), los padres y los miembros de la comunidad (incluyendo los padres de bajos ingresos y nuestro asociado ASES), los estudiantes, los administradores de las escuelas y del distrito, incluyendo un administrador de SELPA. </w:t>
      </w:r>
    </w:p>
    <w:p w14:paraId="0671F7A8" w14:textId="77777777" w:rsidR="00633FB5" w:rsidRDefault="00633FB5" w:rsidP="00C85158"/>
    <w:p w14:paraId="268C3560" w14:textId="77777777" w:rsidR="00C85158" w:rsidRPr="00FD48D6" w:rsidRDefault="00C85158" w:rsidP="00C85158">
      <w:pPr>
        <w:rPr>
          <w:rStyle w:val="normaltextrun"/>
        </w:rPr>
      </w:pPr>
      <w:r>
        <w:lastRenderedPageBreak/>
        <w:t xml:space="preserve">Se obtuvieron aportaciones a través de reuniones de asesoramiento, encuestas, grupos de discusión y foros comunitarios.  El comité asesor del LCAP funcionó como el comité directivo para el desarrollo del Plan AB 86.  El comité directivo sintetizó las aportaciones de todas las partes interesadas, analizó los datos e identificó las estrategias apropiadas de instrucción suplementaria y de apoyo que debían aplicarse para satisfacer las necesidades de nuestros estudiantes. </w:t>
      </w:r>
    </w:p>
    <w:p w14:paraId="10F0534F" w14:textId="77777777" w:rsidR="00633FB5" w:rsidRDefault="00633FB5" w:rsidP="00C85158"/>
    <w:p w14:paraId="6BE86223" w14:textId="77777777" w:rsidR="00C85158" w:rsidRDefault="00C85158" w:rsidP="00C85158">
      <w:r>
        <w:t xml:space="preserve">Los datos cuantitativos de CA DASHBOARD, incluyendo los resultados de rendimiento de los estudiantes, el progreso de los aprendices de inglés, las tasas de asistencia y las tasas de suspensión se analizaron utilizando el protocolo de análisis de datos del Distrito Escolar Eastside Union. Los datos de la evaluación de referencia STAR 360 y de Lectoescritura Temprana fueron analizados utilizando el protocolo de análisis de datos del Distrito Escolar Eastside Union. Los datos de la encuesta Panorama Education sobre el clima escolar, el aprendizaje socioemocional y las relaciones entre las familias y la escuela se analizaron utilizando el análisis de datos del Distrito Escolar Eastside Union. </w:t>
      </w:r>
    </w:p>
    <w:p w14:paraId="77E267AD" w14:textId="5FA9D1D9" w:rsidR="00357B9A" w:rsidRPr="00A16E89" w:rsidRDefault="00C32A5F" w:rsidP="00357B9A">
      <w:pPr>
        <w:spacing w:before="240" w:after="60"/>
        <w:rPr>
          <w:rFonts w:eastAsia="Calibri"/>
          <w:b/>
          <w:bCs/>
          <w:color w:val="000000"/>
          <w:szCs w:val="24"/>
        </w:rPr>
      </w:pPr>
      <w:r>
        <w:rPr>
          <w:b/>
          <w:bCs/>
        </w:rPr>
        <w:t>Una descripción de cómo se identificarán los estudiantes y se evaluarán sus necesidades.</w:t>
      </w:r>
      <w:bookmarkEnd w:id="2"/>
      <w:r>
        <w:rPr>
          <w:b/>
          <w:bCs/>
          <w:color w:val="000000"/>
          <w:szCs w:val="24"/>
        </w:rPr>
        <w:t xml:space="preserve">  </w:t>
      </w:r>
    </w:p>
    <w:p w14:paraId="16AB1734" w14:textId="77777777" w:rsidR="00A16E89" w:rsidRPr="00A16E89" w:rsidRDefault="00A16E89" w:rsidP="00A16E89">
      <w:pPr>
        <w:rPr>
          <w:rStyle w:val="eop"/>
        </w:rPr>
      </w:pPr>
      <w:bookmarkStart w:id="3" w:name="_Hlk66178177"/>
      <w:r>
        <w:rPr>
          <w:rStyle w:val="eop"/>
        </w:rPr>
        <w:t xml:space="preserve">El Distrito Escolar Eastside Union identifica a los estudiantes que necesitan apoyos académicos, socio-emocionales y otros apoyos estudiantiles integrados, a través de un programa regular de evaluación y análisis de datos.  Los puntos de referencia académicos y socio-emocionales se administran tres veces al año. </w:t>
      </w:r>
    </w:p>
    <w:p w14:paraId="3CA5F397" w14:textId="77777777" w:rsidR="00A16E89" w:rsidRDefault="00A16E89" w:rsidP="00A16E89">
      <w:pPr>
        <w:rPr>
          <w:rStyle w:val="eop"/>
          <w:shd w:val="clear" w:color="auto" w:fill="FFFFFF"/>
        </w:rPr>
      </w:pPr>
      <w:r>
        <w:rPr>
          <w:rStyle w:val="eop"/>
          <w:shd w:val="clear" w:color="auto" w:fill="FFFFFF"/>
        </w:rPr>
        <w:t>Para asegurar que nuestro programa de recuperación del aprendizaje identifique a los estudiantes que más necesitan los servicios, revisaremos los datos y las evaluaciones que incluyen, pero no se limitan a, lo siguiente:</w:t>
      </w:r>
    </w:p>
    <w:p w14:paraId="52323A63" w14:textId="77777777" w:rsidR="00A16E89" w:rsidRPr="00A16E89" w:rsidRDefault="00A16E89" w:rsidP="00A16E89">
      <w:pPr>
        <w:rPr>
          <w:rStyle w:val="eop"/>
          <w:shd w:val="clear" w:color="auto" w:fill="FFFFFF"/>
        </w:rPr>
      </w:pPr>
    </w:p>
    <w:p w14:paraId="457ECF8E" w14:textId="77777777" w:rsidR="00A16E89" w:rsidRPr="00A16E89" w:rsidRDefault="00A16E89" w:rsidP="00A16E89">
      <w:pPr>
        <w:pStyle w:val="ListParagraph"/>
        <w:numPr>
          <w:ilvl w:val="0"/>
          <w:numId w:val="25"/>
        </w:numPr>
        <w:spacing w:after="160" w:line="259" w:lineRule="auto"/>
        <w:rPr>
          <w:rStyle w:val="eop"/>
          <w:shd w:val="clear" w:color="auto" w:fill="FFFFFF"/>
        </w:rPr>
      </w:pPr>
      <w:r>
        <w:rPr>
          <w:rStyle w:val="eop"/>
          <w:shd w:val="clear" w:color="auto" w:fill="FFFFFF"/>
        </w:rPr>
        <w:t xml:space="preserve">Pruebas del dominio del inglés de California (ELPAC) </w:t>
      </w:r>
    </w:p>
    <w:p w14:paraId="2CED6369" w14:textId="77777777" w:rsidR="00A16E89" w:rsidRPr="00A16E89" w:rsidRDefault="00A16E89" w:rsidP="00A16E89">
      <w:pPr>
        <w:pStyle w:val="ListParagraph"/>
        <w:numPr>
          <w:ilvl w:val="0"/>
          <w:numId w:val="25"/>
        </w:numPr>
        <w:spacing w:after="160" w:line="259" w:lineRule="auto"/>
        <w:rPr>
          <w:rStyle w:val="eop"/>
          <w:shd w:val="clear" w:color="auto" w:fill="FFFFFF"/>
        </w:rPr>
      </w:pPr>
      <w:r>
        <w:rPr>
          <w:rStyle w:val="eop"/>
          <w:shd w:val="clear" w:color="auto" w:fill="FFFFFF"/>
        </w:rPr>
        <w:t>Absentismo crónico y asistencia</w:t>
      </w:r>
    </w:p>
    <w:p w14:paraId="2A0B9168" w14:textId="77777777" w:rsidR="00A16E89" w:rsidRPr="00A16E89" w:rsidRDefault="00A16E89" w:rsidP="00A16E89">
      <w:pPr>
        <w:pStyle w:val="ListParagraph"/>
        <w:numPr>
          <w:ilvl w:val="0"/>
          <w:numId w:val="25"/>
        </w:numPr>
        <w:spacing w:after="160" w:line="259" w:lineRule="auto"/>
        <w:rPr>
          <w:rStyle w:val="eop"/>
          <w:shd w:val="clear" w:color="auto" w:fill="FFFFFF"/>
        </w:rPr>
      </w:pPr>
      <w:r>
        <w:rPr>
          <w:rStyle w:val="eop"/>
          <w:shd w:val="clear" w:color="auto" w:fill="FFFFFF"/>
        </w:rPr>
        <w:t>Evaluaciones del aprendizaje socio-emocional (SEL)</w:t>
      </w:r>
    </w:p>
    <w:p w14:paraId="18D60997" w14:textId="77777777" w:rsidR="00A16E89" w:rsidRPr="00A16E89" w:rsidRDefault="00A16E89" w:rsidP="00A16E89">
      <w:pPr>
        <w:pStyle w:val="ListParagraph"/>
        <w:numPr>
          <w:ilvl w:val="0"/>
          <w:numId w:val="25"/>
        </w:numPr>
        <w:spacing w:after="160" w:line="259" w:lineRule="auto"/>
        <w:rPr>
          <w:rStyle w:val="eop"/>
          <w:shd w:val="clear" w:color="auto" w:fill="FFFFFF"/>
        </w:rPr>
      </w:pPr>
      <w:r>
        <w:rPr>
          <w:rStyle w:val="eop"/>
          <w:shd w:val="clear" w:color="auto" w:fill="FFFFFF"/>
        </w:rPr>
        <w:t>Estudiantes McKinney Vento</w:t>
      </w:r>
    </w:p>
    <w:p w14:paraId="663AB248" w14:textId="77777777" w:rsidR="00A16E89" w:rsidRPr="00A16E89" w:rsidRDefault="00A16E89" w:rsidP="00A16E89">
      <w:pPr>
        <w:pStyle w:val="ListParagraph"/>
        <w:numPr>
          <w:ilvl w:val="0"/>
          <w:numId w:val="25"/>
        </w:numPr>
        <w:spacing w:after="160" w:line="259" w:lineRule="auto"/>
        <w:rPr>
          <w:rStyle w:val="eop"/>
          <w:shd w:val="clear" w:color="auto" w:fill="FFFFFF"/>
        </w:rPr>
      </w:pPr>
      <w:r>
        <w:rPr>
          <w:rStyle w:val="eop"/>
          <w:shd w:val="clear" w:color="auto" w:fill="FFFFFF"/>
        </w:rPr>
        <w:t>Jóvenes de crianza</w:t>
      </w:r>
    </w:p>
    <w:p w14:paraId="74D6587B" w14:textId="77777777" w:rsidR="00A16E89" w:rsidRPr="00A16E89" w:rsidRDefault="00A16E89" w:rsidP="00A16E89">
      <w:pPr>
        <w:pStyle w:val="ListParagraph"/>
        <w:numPr>
          <w:ilvl w:val="0"/>
          <w:numId w:val="25"/>
        </w:numPr>
        <w:spacing w:after="160" w:line="259" w:lineRule="auto"/>
        <w:rPr>
          <w:rStyle w:val="eop"/>
          <w:shd w:val="clear" w:color="auto" w:fill="FFFFFF"/>
        </w:rPr>
      </w:pPr>
      <w:r>
        <w:rPr>
          <w:rStyle w:val="eop"/>
          <w:shd w:val="clear" w:color="auto" w:fill="FFFFFF"/>
        </w:rPr>
        <w:t>Evaluaciones locales de referencia (lectura y matemáticas)</w:t>
      </w:r>
    </w:p>
    <w:p w14:paraId="5E0D6F34" w14:textId="77777777" w:rsidR="00A16E89" w:rsidRPr="00A16E89" w:rsidRDefault="00A16E89" w:rsidP="00A16E89">
      <w:pPr>
        <w:pStyle w:val="ListParagraph"/>
        <w:numPr>
          <w:ilvl w:val="0"/>
          <w:numId w:val="25"/>
        </w:numPr>
        <w:spacing w:after="160" w:line="259" w:lineRule="auto"/>
        <w:rPr>
          <w:rStyle w:val="eop"/>
          <w:shd w:val="clear" w:color="auto" w:fill="FFFFFF"/>
        </w:rPr>
      </w:pPr>
      <w:r>
        <w:rPr>
          <w:rStyle w:val="eop"/>
          <w:shd w:val="clear" w:color="auto" w:fill="FFFFFF"/>
        </w:rPr>
        <w:t>Tasas de participación en las comidas</w:t>
      </w:r>
    </w:p>
    <w:p w14:paraId="3E1651D6" w14:textId="7420E10C" w:rsidR="00357B9A" w:rsidRPr="00481D5A" w:rsidRDefault="00C32A5F" w:rsidP="00357B9A">
      <w:pPr>
        <w:spacing w:before="240" w:after="60"/>
        <w:rPr>
          <w:rFonts w:eastAsia="Calibri"/>
          <w:b/>
          <w:bCs/>
          <w:color w:val="000000"/>
          <w:szCs w:val="24"/>
        </w:rPr>
      </w:pPr>
      <w:r>
        <w:rPr>
          <w:b/>
          <w:bCs/>
          <w:color w:val="000000"/>
          <w:szCs w:val="24"/>
        </w:rPr>
        <w:t>Una descripción de cómo se informará a los padres y tutores legales de los estudiantes sobre las oportunidades de instrucción y apoyo suplementario.</w:t>
      </w:r>
    </w:p>
    <w:bookmarkEnd w:id="3"/>
    <w:p w14:paraId="66FF61E3" w14:textId="08D97D7F" w:rsidR="00481D5A" w:rsidRPr="00084EBF" w:rsidRDefault="00481D5A" w:rsidP="00481D5A">
      <w:pPr>
        <w:rPr>
          <w:rStyle w:val="eop"/>
          <w:shd w:val="clear" w:color="auto" w:fill="FFFFFF"/>
        </w:rPr>
      </w:pPr>
      <w:r>
        <w:rPr>
          <w:rStyle w:val="eop"/>
          <w:shd w:val="clear" w:color="auto" w:fill="FFFFFF"/>
        </w:rPr>
        <w:t xml:space="preserve">La comunicación constante con las familias es una prioridad para el Distrito Escolar Eastside Union, y todas las comunicaciones se traducen siempre al español, tanto en los mensajes escritos como en los de audio.  Cuando se necesita un idioma distinto del inglés, trabajamos con una organización externa para contratar un intérprete. Cuando se identifique que los estudiantes necesitan mayores oportunidades de aprendizaje a través del proceso de análisis integral de datos, los maestros de clase se pondrán en contacto con los padres o tutores legales para informarles de las oportunidades de instrucción suplementaria y apoyo.  Los directores utilizarán las </w:t>
      </w:r>
      <w:r>
        <w:rPr>
          <w:rStyle w:val="eop"/>
          <w:shd w:val="clear" w:color="auto" w:fill="FFFFFF"/>
        </w:rPr>
        <w:lastRenderedPageBreak/>
        <w:t>redes sociales, el sitio web y la plataforma de comunicación general (</w:t>
      </w:r>
      <w:r w:rsidR="00D01F0C">
        <w:rPr>
          <w:rStyle w:val="eop"/>
          <w:shd w:val="clear" w:color="auto" w:fill="FFFFFF"/>
        </w:rPr>
        <w:t>“</w:t>
      </w:r>
      <w:proofErr w:type="spellStart"/>
      <w:r>
        <w:rPr>
          <w:rStyle w:val="eop"/>
          <w:shd w:val="clear" w:color="auto" w:fill="FFFFFF"/>
        </w:rPr>
        <w:t>Parent</w:t>
      </w:r>
      <w:proofErr w:type="spellEnd"/>
      <w:r>
        <w:rPr>
          <w:rStyle w:val="eop"/>
          <w:shd w:val="clear" w:color="auto" w:fill="FFFFFF"/>
        </w:rPr>
        <w:t xml:space="preserve"> Square</w:t>
      </w:r>
      <w:r w:rsidR="00D01F0C">
        <w:rPr>
          <w:rStyle w:val="eop"/>
          <w:shd w:val="clear" w:color="auto" w:fill="FFFFFF"/>
        </w:rPr>
        <w:t>”</w:t>
      </w:r>
      <w:r>
        <w:rPr>
          <w:rStyle w:val="eop"/>
          <w:shd w:val="clear" w:color="auto" w:fill="FFFFFF"/>
        </w:rPr>
        <w:t>) para anunciar las oportunidades de aprendizaje suplementarias disponibles y enviar invitaciones/formularios de inscripción específicos a las familias.  El director y el personal de la escuela harán un seguimiento para garantizar que los estudiantes aprovechen las oportunidades de aprendizaje suplementarias diseñadas para satisfacer sus necesidades.</w:t>
      </w:r>
    </w:p>
    <w:p w14:paraId="723F5111" w14:textId="3E4379BC" w:rsidR="009534E0" w:rsidRPr="00AB4CE8" w:rsidRDefault="0082773A" w:rsidP="00805F85">
      <w:pPr>
        <w:spacing w:before="240" w:after="60"/>
        <w:rPr>
          <w:b/>
          <w:bCs/>
        </w:rPr>
      </w:pPr>
      <w:r>
        <w:rPr>
          <w:b/>
          <w:bCs/>
          <w:color w:val="000000"/>
        </w:rPr>
        <w:t>Una descripción del plan de la LEA para proporcionar instrucción y apoyo suplementarios.</w:t>
      </w:r>
      <w:r>
        <w:rPr>
          <w:b/>
          <w:bCs/>
          <w:color w:val="000000"/>
          <w:szCs w:val="24"/>
        </w:rPr>
        <w:t xml:space="preserve"> </w:t>
      </w:r>
      <w:bookmarkStart w:id="4" w:name="_Hlk66185735"/>
    </w:p>
    <w:bookmarkEnd w:id="4"/>
    <w:p w14:paraId="79A39550" w14:textId="60B4A596" w:rsidR="00032935" w:rsidRPr="00032935" w:rsidRDefault="00032935" w:rsidP="00032935">
      <w:pPr>
        <w:rPr>
          <w:rStyle w:val="eop"/>
          <w:shd w:val="clear" w:color="auto" w:fill="FFFFFF"/>
        </w:rPr>
      </w:pPr>
      <w:r>
        <w:rPr>
          <w:rStyle w:val="eop"/>
          <w:shd w:val="clear" w:color="auto" w:fill="FFFFFF"/>
        </w:rPr>
        <w:t>El Distrito Escolar Eastside Union, en asociación con nuestro proveedor de ASES, nuestro programa de consejería escolar y nuestro trabajador social del distrito, proporcionará un marco de trabajo por niveles que</w:t>
      </w:r>
      <w:r w:rsidR="006009A5">
        <w:rPr>
          <w:rStyle w:val="eop"/>
          <w:shd w:val="clear" w:color="auto" w:fill="FFFFFF"/>
        </w:rPr>
        <w:t xml:space="preserve"> </w:t>
      </w:r>
      <w:r>
        <w:rPr>
          <w:rStyle w:val="eop"/>
          <w:shd w:val="clear" w:color="auto" w:fill="FFFFFF"/>
        </w:rPr>
        <w:t xml:space="preserve">basa los apoyos universales, específicos e intensivos en las necesidades de los estudiantes para los apoyos académicos, socio-emocionales y otros apoyos integrados para los estudiantes. El apoyo incluirá el aprendizaje ampliado (Programa de verano 2021, Programa de invierno 2021, Programa de primavera 2022, Programa de verano 2022), así como, centros de aprendizaje en cada biblioteca escolar (30 sábados cada año), Comidas sobre Ruedas para garantizar el servicio de alimentos a nuestras familias de bajos ingresos que viven en las zonas remotas de los límites de nuestro distrito, la capacitación intensiva en Prácticas Restaurativas para los maestros y el personal escolar, y la adición de una plataforma de diagnóstico y aprendizaje virtual (iReady). </w:t>
      </w:r>
    </w:p>
    <w:p w14:paraId="11EA66F4" w14:textId="77777777" w:rsidR="002671A8" w:rsidRDefault="002671A8" w:rsidP="00032935">
      <w:pPr>
        <w:rPr>
          <w:rStyle w:val="eop"/>
          <w:shd w:val="clear" w:color="auto" w:fill="FFFFFF"/>
        </w:rPr>
      </w:pPr>
    </w:p>
    <w:p w14:paraId="13A4192C" w14:textId="102C634E" w:rsidR="00032935" w:rsidRPr="00032935" w:rsidRDefault="00032935" w:rsidP="00032935">
      <w:pPr>
        <w:rPr>
          <w:rStyle w:val="eop"/>
          <w:shd w:val="clear" w:color="auto" w:fill="FFFFFF"/>
        </w:rPr>
      </w:pPr>
      <w:r>
        <w:rPr>
          <w:rStyle w:val="eop"/>
          <w:shd w:val="clear" w:color="auto" w:fill="FFFFFF"/>
        </w:rPr>
        <w:t xml:space="preserve">Los programas de aprendizaje ampliado en persona incluirán apoyo académico proporcionado por los maestros del Distrito Escolar Eastside Union, apoyo socio-emocional proporcionado por los consejeros del Distrito, y actividades de aprendizaje y enriquecimiento proporcionadas por nuestro compañero ASES.  La trabajadora social del Distrito Escolar Eastside Union y los directores de las escuelas, identificarán a los estudiantes con necesidades de Nivel III (tanto académicas como socioemocionales) y un equipo de estudio de estudiantes en cada escuela desarrollará un plan de apoyo para los estudiantes identificados. </w:t>
      </w:r>
    </w:p>
    <w:p w14:paraId="05A06C7A" w14:textId="77777777" w:rsidR="002671A8" w:rsidRDefault="002671A8" w:rsidP="00032935">
      <w:pPr>
        <w:rPr>
          <w:rStyle w:val="eop"/>
          <w:shd w:val="clear" w:color="auto" w:fill="FFFFFF"/>
        </w:rPr>
      </w:pPr>
    </w:p>
    <w:p w14:paraId="1966713F" w14:textId="7DE883A6" w:rsidR="00032935" w:rsidRPr="00032935" w:rsidRDefault="00032935" w:rsidP="00032935">
      <w:pPr>
        <w:rPr>
          <w:rStyle w:val="eop"/>
          <w:shd w:val="clear" w:color="auto" w:fill="FFFFFF"/>
        </w:rPr>
      </w:pPr>
      <w:r>
        <w:rPr>
          <w:rStyle w:val="eop"/>
          <w:shd w:val="clear" w:color="auto" w:fill="FFFFFF"/>
        </w:rPr>
        <w:t xml:space="preserve">Los estudiantes con discapacidades serán incluidos en todas las acciones del </w:t>
      </w:r>
      <w:r w:rsidR="00643775" w:rsidRPr="00643775">
        <w:rPr>
          <w:rStyle w:val="eop"/>
          <w:shd w:val="clear" w:color="auto" w:fill="FFFFFF"/>
        </w:rPr>
        <w:t>Plan de Subvención para Oportunidades de Aprendizaje Ampliado</w:t>
      </w:r>
      <w:r>
        <w:rPr>
          <w:rStyle w:val="eop"/>
          <w:shd w:val="clear" w:color="auto" w:fill="FFFFFF"/>
        </w:rPr>
        <w:t xml:space="preserve"> y todos los servicios se prestarán de acuerdo con el plan de educación individual (IEP). </w:t>
      </w:r>
    </w:p>
    <w:p w14:paraId="0DA64765" w14:textId="77777777" w:rsidR="008E59C0" w:rsidRPr="00AB4CE8" w:rsidRDefault="008E59C0" w:rsidP="008E59C0"/>
    <w:p w14:paraId="5632672B" w14:textId="74F69DF2" w:rsidR="00B76F12" w:rsidRPr="00F5017F" w:rsidRDefault="0082773A" w:rsidP="008E3405">
      <w:pPr>
        <w:pStyle w:val="Heading2"/>
      </w:pPr>
      <w:r>
        <w:t>Plan de gastos</w:t>
      </w:r>
    </w:p>
    <w:p w14:paraId="0D676172" w14:textId="0EBE95B6" w:rsidR="00B76F12" w:rsidRDefault="00664E95" w:rsidP="00A631B9">
      <w:pPr>
        <w:spacing w:before="120" w:after="120"/>
        <w:rPr>
          <w:rFonts w:eastAsia="Times New Roman"/>
          <w:color w:val="000000"/>
          <w:szCs w:val="20"/>
        </w:rPr>
      </w:pPr>
      <w:r>
        <w:t>La siguiente tabla proporciona el plan de gastos de la LEA sobre cómo utilizará los fondos de la subvención ELO para apoyar la instrucción suplementaria y las estrategias de apoyo que está implementando la LEA.</w:t>
      </w:r>
    </w:p>
    <w:tbl>
      <w:tblPr>
        <w:tblStyle w:val="GridTable1Light"/>
        <w:tblW w:w="5000" w:type="pct"/>
        <w:tblBorders>
          <w:top w:val="single" w:sz="4" w:space="0" w:color="806000"/>
          <w:left w:val="single" w:sz="4" w:space="0" w:color="806000"/>
          <w:bottom w:val="single" w:sz="4" w:space="0" w:color="806000"/>
          <w:right w:val="single" w:sz="4" w:space="0" w:color="806000"/>
          <w:insideH w:val="single" w:sz="4" w:space="0" w:color="806000"/>
          <w:insideV w:val="single" w:sz="4" w:space="0" w:color="806000"/>
        </w:tblBorders>
        <w:tblLook w:val="04A0" w:firstRow="1" w:lastRow="0" w:firstColumn="1" w:lastColumn="0" w:noHBand="0" w:noVBand="1"/>
        <w:tblDescription w:val="Actions related to in-person instructional offerings table"/>
      </w:tblPr>
      <w:tblGrid>
        <w:gridCol w:w="8185"/>
        <w:gridCol w:w="3059"/>
        <w:gridCol w:w="3146"/>
      </w:tblGrid>
      <w:tr w:rsidR="0082773A" w:rsidRPr="00204F08" w14:paraId="5D545632" w14:textId="58FE72C6" w:rsidTr="1A304E7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44" w:type="pct"/>
            <w:tcBorders>
              <w:bottom w:val="none" w:sz="0" w:space="0" w:color="auto"/>
            </w:tcBorders>
            <w:shd w:val="clear" w:color="auto" w:fill="FFFF79"/>
          </w:tcPr>
          <w:p w14:paraId="5211FEEC" w14:textId="7C7A2348" w:rsidR="0082773A" w:rsidRPr="00204F08" w:rsidRDefault="00A951AB" w:rsidP="001617A2">
            <w:pPr>
              <w:spacing w:before="60" w:after="60"/>
              <w:rPr>
                <w:bCs w:val="0"/>
                <w:color w:val="000000"/>
              </w:rPr>
            </w:pPr>
            <w:r>
              <w:rPr>
                <w:color w:val="000000"/>
              </w:rPr>
              <w:lastRenderedPageBreak/>
              <w:t>Estrategias de instrucción y apoyo suplementarias</w:t>
            </w:r>
          </w:p>
        </w:tc>
        <w:tc>
          <w:tcPr>
            <w:tcW w:w="1063" w:type="pct"/>
            <w:tcBorders>
              <w:bottom w:val="none" w:sz="0" w:space="0" w:color="auto"/>
            </w:tcBorders>
            <w:shd w:val="clear" w:color="auto" w:fill="FFFF79"/>
          </w:tcPr>
          <w:p w14:paraId="176D7988" w14:textId="64CD9413" w:rsidR="0082773A" w:rsidRPr="00204F08" w:rsidRDefault="00F02673" w:rsidP="001617A2">
            <w:pPr>
              <w:spacing w:before="60" w:after="60"/>
              <w:cnfStyle w:val="100000000000" w:firstRow="1" w:lastRow="0" w:firstColumn="0" w:lastColumn="0" w:oddVBand="0" w:evenVBand="0" w:oddHBand="0" w:evenHBand="0" w:firstRowFirstColumn="0" w:firstRowLastColumn="0" w:lastRowFirstColumn="0" w:lastRowLastColumn="0"/>
              <w:rPr>
                <w:bCs w:val="0"/>
                <w:color w:val="000000"/>
              </w:rPr>
            </w:pPr>
            <w:r>
              <w:rPr>
                <w:color w:val="000000"/>
              </w:rPr>
              <w:t>Gastos planificados</w:t>
            </w:r>
          </w:p>
        </w:tc>
        <w:tc>
          <w:tcPr>
            <w:tcW w:w="1093" w:type="pct"/>
            <w:tcBorders>
              <w:bottom w:val="none" w:sz="0" w:space="0" w:color="auto"/>
            </w:tcBorders>
            <w:shd w:val="clear" w:color="auto" w:fill="FFFF79"/>
          </w:tcPr>
          <w:p w14:paraId="5DDC090E" w14:textId="7753EAAF" w:rsidR="0082773A" w:rsidRPr="00204F08" w:rsidRDefault="0082773A" w:rsidP="001617A2">
            <w:pPr>
              <w:spacing w:before="60" w:after="60"/>
              <w:cnfStyle w:val="100000000000" w:firstRow="1" w:lastRow="0" w:firstColumn="0" w:lastColumn="0" w:oddVBand="0" w:evenVBand="0" w:oddHBand="0" w:evenHBand="0" w:firstRowFirstColumn="0" w:firstRowLastColumn="0" w:lastRowFirstColumn="0" w:lastRowLastColumn="0"/>
              <w:rPr>
                <w:bCs w:val="0"/>
                <w:color w:val="000000"/>
              </w:rPr>
            </w:pPr>
            <w:r>
              <w:rPr>
                <w:color w:val="000000"/>
              </w:rPr>
              <w:t>Gastos reales</w:t>
            </w:r>
          </w:p>
        </w:tc>
      </w:tr>
      <w:tr w:rsidR="0082773A" w:rsidRPr="00204F08" w14:paraId="568A3342" w14:textId="13011695" w:rsidTr="1A304E79">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2882068C" w14:textId="77777777" w:rsidR="00032935" w:rsidRPr="00032935" w:rsidRDefault="00110C47" w:rsidP="00032935">
            <w:pPr>
              <w:spacing w:before="60" w:after="60"/>
              <w:rPr>
                <w:color w:val="000000" w:themeColor="text1"/>
              </w:rPr>
            </w:pPr>
            <w:r>
              <w:rPr>
                <w:b w:val="0"/>
                <w:bCs w:val="0"/>
                <w:color w:val="000000" w:themeColor="text1"/>
              </w:rPr>
              <w:t xml:space="preserve">Extensión del tiempo de aprendizaje instructivo: </w:t>
            </w:r>
          </w:p>
          <w:p w14:paraId="1BBF4CDA" w14:textId="77777777" w:rsidR="000615A1" w:rsidRPr="00AF5B4C" w:rsidRDefault="000615A1" w:rsidP="0839984B">
            <w:pPr>
              <w:spacing w:before="60" w:after="60"/>
              <w:rPr>
                <w:b w:val="0"/>
                <w:bCs w:val="0"/>
                <w:color w:val="000000" w:themeColor="text1"/>
              </w:rPr>
            </w:pPr>
          </w:p>
          <w:p w14:paraId="15924D21" w14:textId="52929B74" w:rsidR="0082773A" w:rsidRDefault="00B64CB9" w:rsidP="0839984B">
            <w:pPr>
              <w:spacing w:before="60" w:after="60"/>
              <w:rPr>
                <w:b w:val="0"/>
                <w:bCs w:val="0"/>
                <w:color w:val="000000" w:themeColor="text1"/>
              </w:rPr>
            </w:pPr>
            <w:r>
              <w:t>Programas de aprendizaje en persona para verano 2021, invierno 2021, primavera 2022, verano 2022</w:t>
            </w:r>
          </w:p>
          <w:p w14:paraId="64CB929C" w14:textId="77A94F3A" w:rsidR="00014BAD" w:rsidRPr="00BC5D4F" w:rsidRDefault="00B46085" w:rsidP="00014BAD">
            <w:pPr>
              <w:pStyle w:val="ListParagraph"/>
              <w:numPr>
                <w:ilvl w:val="0"/>
                <w:numId w:val="18"/>
              </w:numPr>
              <w:spacing w:before="60" w:after="60"/>
              <w:rPr>
                <w:color w:val="000000" w:themeColor="text1"/>
              </w:rPr>
            </w:pPr>
            <w:r>
              <w:rPr>
                <w:b w:val="0"/>
                <w:bCs w:val="0"/>
                <w:color w:val="000000" w:themeColor="text1"/>
              </w:rPr>
              <w:t>Personal acreditado por hora adicional</w:t>
            </w:r>
          </w:p>
          <w:p w14:paraId="4AAB6197" w14:textId="67855AF1" w:rsidR="00896A7C" w:rsidRPr="00896A7C" w:rsidRDefault="00BC5D4F" w:rsidP="00896A7C">
            <w:pPr>
              <w:pStyle w:val="ListParagraph"/>
              <w:numPr>
                <w:ilvl w:val="0"/>
                <w:numId w:val="18"/>
              </w:numPr>
              <w:spacing w:before="60" w:after="60"/>
              <w:rPr>
                <w:color w:val="000000" w:themeColor="text1"/>
              </w:rPr>
            </w:pPr>
            <w:r>
              <w:rPr>
                <w:b w:val="0"/>
                <w:bCs w:val="0"/>
                <w:color w:val="000000" w:themeColor="text1"/>
              </w:rPr>
              <w:t>Clasificado por hora adicional</w:t>
            </w:r>
          </w:p>
          <w:p w14:paraId="3BF724E7" w14:textId="5409487C" w:rsidR="00521FC3" w:rsidRPr="00521FC3" w:rsidRDefault="00521FC3" w:rsidP="00014BAD">
            <w:pPr>
              <w:pStyle w:val="ListParagraph"/>
              <w:numPr>
                <w:ilvl w:val="0"/>
                <w:numId w:val="18"/>
              </w:numPr>
              <w:spacing w:before="60" w:after="60"/>
              <w:rPr>
                <w:b w:val="0"/>
                <w:bCs w:val="0"/>
                <w:color w:val="000000" w:themeColor="text1"/>
              </w:rPr>
            </w:pPr>
            <w:r>
              <w:rPr>
                <w:b w:val="0"/>
                <w:bCs w:val="0"/>
                <w:color w:val="000000" w:themeColor="text1"/>
              </w:rPr>
              <w:t>Materiales y suministros</w:t>
            </w:r>
            <w:r w:rsidR="001A6292">
              <w:rPr>
                <w:b w:val="0"/>
                <w:bCs w:val="0"/>
                <w:color w:val="000000" w:themeColor="text1"/>
              </w:rPr>
              <w:t xml:space="preserve"> </w:t>
            </w:r>
          </w:p>
          <w:p w14:paraId="2F862EF6" w14:textId="77777777" w:rsidR="00B64CB9" w:rsidRPr="00F50CE2" w:rsidRDefault="00B64CB9" w:rsidP="00B64CB9">
            <w:pPr>
              <w:pStyle w:val="ListParagraph"/>
              <w:numPr>
                <w:ilvl w:val="0"/>
                <w:numId w:val="18"/>
              </w:numPr>
              <w:spacing w:before="60" w:after="60"/>
              <w:rPr>
                <w:color w:val="000000" w:themeColor="text1"/>
              </w:rPr>
            </w:pPr>
            <w:r>
              <w:rPr>
                <w:b w:val="0"/>
                <w:bCs w:val="0"/>
                <w:color w:val="000000" w:themeColor="text1"/>
              </w:rPr>
              <w:t>Asociación con RISE</w:t>
            </w:r>
          </w:p>
          <w:p w14:paraId="732327C2" w14:textId="66639324" w:rsidR="0082773A" w:rsidRPr="00FC6AA3" w:rsidRDefault="0082773A" w:rsidP="7225BBEF">
            <w:pPr>
              <w:spacing w:before="60" w:after="60"/>
              <w:rPr>
                <w:color w:val="000000" w:themeColor="text1"/>
              </w:rPr>
            </w:pPr>
          </w:p>
          <w:p w14:paraId="50FA423A" w14:textId="0925326F" w:rsidR="0082773A" w:rsidRPr="00FC6AA3" w:rsidRDefault="602DD5DC" w:rsidP="7225BBEF">
            <w:pPr>
              <w:spacing w:before="60" w:after="60"/>
              <w:rPr>
                <w:color w:val="000000" w:themeColor="text1"/>
              </w:rPr>
            </w:pPr>
            <w:r>
              <w:rPr>
                <w:color w:val="000000" w:themeColor="text1"/>
              </w:rPr>
              <w:t>Programa de aprendizaje a distancia asíncrono para el verano 2021</w:t>
            </w:r>
          </w:p>
          <w:p w14:paraId="7B899DFD" w14:textId="0AAC9ECB" w:rsidR="00896A7C" w:rsidRPr="00521FC3" w:rsidRDefault="00521FC3" w:rsidP="00896A7C">
            <w:pPr>
              <w:pStyle w:val="ListParagraph"/>
              <w:numPr>
                <w:ilvl w:val="0"/>
                <w:numId w:val="24"/>
              </w:numPr>
              <w:spacing w:before="60" w:after="60"/>
              <w:rPr>
                <w:b w:val="0"/>
                <w:color w:val="000000" w:themeColor="text1"/>
                <w:szCs w:val="24"/>
              </w:rPr>
            </w:pPr>
            <w:r>
              <w:rPr>
                <w:b w:val="0"/>
                <w:bCs w:val="0"/>
                <w:color w:val="000000" w:themeColor="text1"/>
              </w:rPr>
              <w:t>Personal acreditado por hora adicional</w:t>
            </w:r>
          </w:p>
          <w:p w14:paraId="77024BB2" w14:textId="41598AF5" w:rsidR="00521FC3" w:rsidRPr="00521FC3" w:rsidRDefault="00521FC3" w:rsidP="7225BBEF">
            <w:pPr>
              <w:pStyle w:val="ListParagraph"/>
              <w:numPr>
                <w:ilvl w:val="0"/>
                <w:numId w:val="24"/>
              </w:numPr>
              <w:spacing w:before="60" w:after="60"/>
              <w:rPr>
                <w:b w:val="0"/>
                <w:bCs w:val="0"/>
                <w:color w:val="000000" w:themeColor="text1"/>
                <w:szCs w:val="24"/>
              </w:rPr>
            </w:pPr>
            <w:r>
              <w:rPr>
                <w:b w:val="0"/>
                <w:bCs w:val="0"/>
                <w:color w:val="000000" w:themeColor="text1"/>
              </w:rPr>
              <w:t>Materiales y suministros</w:t>
            </w:r>
          </w:p>
          <w:p w14:paraId="077B9C87" w14:textId="2EDA3E87" w:rsidR="0082773A" w:rsidRPr="00FC6AA3" w:rsidRDefault="0082773A" w:rsidP="00521FC3">
            <w:pPr>
              <w:pStyle w:val="ListParagraph"/>
              <w:spacing w:before="60" w:after="60"/>
              <w:rPr>
                <w:color w:val="000000"/>
                <w:szCs w:val="24"/>
              </w:rPr>
            </w:pPr>
          </w:p>
        </w:tc>
        <w:tc>
          <w:tcPr>
            <w:tcW w:w="1063" w:type="pct"/>
          </w:tcPr>
          <w:p w14:paraId="2C308AC9" w14:textId="25F57C65" w:rsidR="00B32D20" w:rsidRPr="00204F08" w:rsidRDefault="00DA1C57" w:rsidP="7225BBEF">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bCs/>
                <w:color w:val="000000"/>
              </w:rPr>
              <w:t>$1650,360</w:t>
            </w:r>
          </w:p>
        </w:tc>
        <w:tc>
          <w:tcPr>
            <w:tcW w:w="1093" w:type="pct"/>
          </w:tcPr>
          <w:p w14:paraId="5D490D25" w14:textId="21732551" w:rsidR="0082773A" w:rsidRPr="00204F08" w:rsidRDefault="00403EA3" w:rsidP="001617A2">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Los gastos reales se proporcionarán cuando estén disponibles</w:t>
            </w:r>
          </w:p>
        </w:tc>
      </w:tr>
      <w:tr w:rsidR="00110C47" w:rsidRPr="00204F08" w14:paraId="46318ECC" w14:textId="50CB7145" w:rsidTr="1A304E79">
        <w:trPr>
          <w:cantSplit/>
          <w:trHeight w:val="20"/>
        </w:trPr>
        <w:tc>
          <w:tcPr>
            <w:cnfStyle w:val="001000000000" w:firstRow="0" w:lastRow="0" w:firstColumn="1" w:lastColumn="0" w:oddVBand="0" w:evenVBand="0" w:oddHBand="0" w:evenHBand="0" w:firstRowFirstColumn="0" w:firstRowLastColumn="0" w:lastRowFirstColumn="0" w:lastRowLastColumn="0"/>
            <w:tcW w:w="2844" w:type="pct"/>
            <w:shd w:val="clear" w:color="auto" w:fill="FFFFC9"/>
          </w:tcPr>
          <w:p w14:paraId="35B7DFF5" w14:textId="77777777" w:rsidR="00110C47" w:rsidRPr="00AF5B4C" w:rsidRDefault="00110C47" w:rsidP="00110C47">
            <w:pPr>
              <w:spacing w:before="60" w:after="60"/>
              <w:rPr>
                <w:b w:val="0"/>
                <w:bCs w:val="0"/>
                <w:color w:val="000000"/>
              </w:rPr>
            </w:pPr>
            <w:r>
              <w:rPr>
                <w:b w:val="0"/>
                <w:bCs w:val="0"/>
                <w:color w:val="000000"/>
              </w:rPr>
              <w:t>Acelerar el progreso para cerrar las brechas de aprendizaje a través de la implementación, expansión o mejoramiento de los apoyos de aprendizaje.</w:t>
            </w:r>
          </w:p>
          <w:p w14:paraId="0EDD5D9F" w14:textId="57FB9087" w:rsidR="00110C47" w:rsidRPr="00E419B9" w:rsidRDefault="00110C47" w:rsidP="007C2686">
            <w:pPr>
              <w:pStyle w:val="ListParagraph"/>
              <w:spacing w:before="60" w:after="60"/>
              <w:rPr>
                <w:color w:val="000000"/>
              </w:rPr>
            </w:pPr>
          </w:p>
        </w:tc>
        <w:tc>
          <w:tcPr>
            <w:tcW w:w="1063" w:type="pct"/>
            <w:shd w:val="clear" w:color="auto" w:fill="FFFFC9"/>
          </w:tcPr>
          <w:p w14:paraId="5D5D4CCA" w14:textId="7A9352D0"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$ 0.00</w:t>
            </w:r>
          </w:p>
        </w:tc>
        <w:tc>
          <w:tcPr>
            <w:tcW w:w="1093" w:type="pct"/>
            <w:shd w:val="clear" w:color="auto" w:fill="FFFFC9"/>
          </w:tcPr>
          <w:p w14:paraId="5F57CBC8" w14:textId="596B5DEE" w:rsidR="00110C47" w:rsidRPr="00204F08" w:rsidRDefault="00403EA3"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Los gastos reales se proporcionarán cuando estén disponibles</w:t>
            </w:r>
          </w:p>
        </w:tc>
      </w:tr>
      <w:tr w:rsidR="00110C47" w:rsidRPr="00204F08" w14:paraId="2ADAEF34" w14:textId="77777777" w:rsidTr="1A304E79">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66DC1F74" w14:textId="77777777" w:rsidR="00110C47" w:rsidRDefault="00110C47" w:rsidP="00110C47">
            <w:pPr>
              <w:spacing w:before="60" w:after="60"/>
              <w:rPr>
                <w:bCs w:val="0"/>
                <w:color w:val="000000"/>
              </w:rPr>
            </w:pPr>
            <w:r>
              <w:rPr>
                <w:b w:val="0"/>
                <w:color w:val="000000"/>
              </w:rPr>
              <w:t>Apoyos integrados a los estudiantes para tratar otros obstáculos al aprendizaje</w:t>
            </w:r>
          </w:p>
          <w:p w14:paraId="272014E9" w14:textId="77777777" w:rsidR="00BA35CE" w:rsidRDefault="00BA35CE" w:rsidP="00BA35CE">
            <w:pPr>
              <w:spacing w:before="60" w:after="60"/>
              <w:rPr>
                <w:b w:val="0"/>
                <w:bCs w:val="0"/>
                <w:color w:val="000000"/>
              </w:rPr>
            </w:pPr>
          </w:p>
          <w:p w14:paraId="05111C26" w14:textId="4E44FDCD" w:rsidR="00BA35CE" w:rsidRPr="00BA35CE" w:rsidRDefault="00BA35CE" w:rsidP="00BA35CE">
            <w:pPr>
              <w:spacing w:before="60" w:after="60"/>
              <w:rPr>
                <w:color w:val="000000"/>
              </w:rPr>
            </w:pPr>
            <w:r>
              <w:rPr>
                <w:color w:val="000000"/>
              </w:rPr>
              <w:t>Comidas sobre ruedas</w:t>
            </w:r>
          </w:p>
          <w:p w14:paraId="0F2A3B87" w14:textId="58393E83" w:rsidR="00827131" w:rsidRPr="00855490" w:rsidRDefault="00827131" w:rsidP="00562549">
            <w:pPr>
              <w:pStyle w:val="ListParagraph"/>
              <w:numPr>
                <w:ilvl w:val="0"/>
                <w:numId w:val="19"/>
              </w:numPr>
              <w:spacing w:before="60" w:after="60"/>
              <w:rPr>
                <w:b w:val="0"/>
                <w:color w:val="000000"/>
              </w:rPr>
            </w:pPr>
            <w:r>
              <w:rPr>
                <w:b w:val="0"/>
                <w:bCs w:val="0"/>
                <w:color w:val="000000"/>
              </w:rPr>
              <w:t>Clasificado por hora adicional</w:t>
            </w:r>
          </w:p>
          <w:p w14:paraId="14255DD1" w14:textId="346BC3CD" w:rsidR="00110C47" w:rsidRPr="00855490" w:rsidRDefault="004B330E" w:rsidP="00855490">
            <w:pPr>
              <w:pStyle w:val="ListParagraph"/>
              <w:numPr>
                <w:ilvl w:val="0"/>
                <w:numId w:val="19"/>
              </w:numPr>
              <w:spacing w:before="60" w:after="60"/>
              <w:rPr>
                <w:b w:val="0"/>
                <w:bCs w:val="0"/>
                <w:color w:val="000000"/>
              </w:rPr>
            </w:pPr>
            <w:r>
              <w:rPr>
                <w:b w:val="0"/>
                <w:color w:val="000000"/>
              </w:rPr>
              <w:t>Transporte</w:t>
            </w:r>
          </w:p>
          <w:p w14:paraId="6D058155" w14:textId="27DE3F0B" w:rsidR="00110C47" w:rsidRPr="00562549" w:rsidRDefault="00110C47" w:rsidP="00855490">
            <w:pPr>
              <w:pStyle w:val="ListParagraph"/>
              <w:spacing w:before="60" w:after="60"/>
              <w:rPr>
                <w:color w:val="000000"/>
              </w:rPr>
            </w:pPr>
          </w:p>
        </w:tc>
        <w:tc>
          <w:tcPr>
            <w:tcW w:w="1063" w:type="pct"/>
          </w:tcPr>
          <w:p w14:paraId="073F9D88" w14:textId="58299E1E" w:rsidR="00F13CCB" w:rsidRPr="00204F08" w:rsidRDefault="00726A04"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$372,080</w:t>
            </w:r>
          </w:p>
        </w:tc>
        <w:tc>
          <w:tcPr>
            <w:tcW w:w="1093" w:type="pct"/>
          </w:tcPr>
          <w:p w14:paraId="2E8B236E" w14:textId="44786950"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Los gastos reales se proporcionarán cuando estén disponibles</w:t>
            </w:r>
          </w:p>
        </w:tc>
      </w:tr>
      <w:tr w:rsidR="00110C47" w:rsidRPr="00204F08" w14:paraId="612BACBF" w14:textId="77777777" w:rsidTr="1A304E79">
        <w:trPr>
          <w:cantSplit/>
          <w:trHeight w:val="20"/>
        </w:trPr>
        <w:tc>
          <w:tcPr>
            <w:cnfStyle w:val="001000000000" w:firstRow="0" w:lastRow="0" w:firstColumn="1" w:lastColumn="0" w:oddVBand="0" w:evenVBand="0" w:oddHBand="0" w:evenHBand="0" w:firstRowFirstColumn="0" w:firstRowLastColumn="0" w:lastRowFirstColumn="0" w:lastRowLastColumn="0"/>
            <w:tcW w:w="2844" w:type="pct"/>
            <w:shd w:val="clear" w:color="auto" w:fill="FFFFC9"/>
          </w:tcPr>
          <w:p w14:paraId="689F7D37" w14:textId="7B035E7A" w:rsidR="00110C47" w:rsidRPr="00FC6AA3" w:rsidRDefault="00110C47" w:rsidP="7225BBEF">
            <w:pPr>
              <w:spacing w:before="60" w:after="60"/>
              <w:rPr>
                <w:b w:val="0"/>
                <w:bCs w:val="0"/>
                <w:color w:val="000000" w:themeColor="text1"/>
              </w:rPr>
            </w:pPr>
            <w:r>
              <w:rPr>
                <w:b w:val="0"/>
                <w:bCs w:val="0"/>
                <w:color w:val="000000" w:themeColor="text1"/>
              </w:rPr>
              <w:t>Centros comunitarios de aprendizaje que ofrecen a los estudiantes acceso a la tecnología, Internet de alta velocidad y otros apoyos académicos.</w:t>
            </w:r>
          </w:p>
          <w:p w14:paraId="0BD01F08" w14:textId="7EA8C2C0" w:rsidR="00110C47" w:rsidRPr="00FC6AA3" w:rsidRDefault="00110C47" w:rsidP="7225BBEF">
            <w:pPr>
              <w:spacing w:before="60" w:after="60"/>
              <w:rPr>
                <w:b w:val="0"/>
                <w:bCs w:val="0"/>
                <w:color w:val="000000" w:themeColor="text1"/>
              </w:rPr>
            </w:pPr>
          </w:p>
          <w:p w14:paraId="46F4CB53" w14:textId="5488AFA3" w:rsidR="00110C47" w:rsidRPr="00FC6AA3" w:rsidRDefault="000C632B" w:rsidP="7225BBEF">
            <w:pPr>
              <w:spacing w:before="60" w:after="60"/>
              <w:rPr>
                <w:b w:val="0"/>
                <w:bCs w:val="0"/>
                <w:color w:val="000000" w:themeColor="text1"/>
              </w:rPr>
            </w:pPr>
            <w:r>
              <w:rPr>
                <w:color w:val="000000" w:themeColor="text1"/>
              </w:rPr>
              <w:t xml:space="preserve"> Horario extendido para las bibliotecas escolares:</w:t>
            </w:r>
            <w:r>
              <w:rPr>
                <w:b w:val="0"/>
                <w:bCs w:val="0"/>
                <w:color w:val="000000" w:themeColor="text1"/>
              </w:rPr>
              <w:t xml:space="preserve"> </w:t>
            </w:r>
          </w:p>
          <w:p w14:paraId="0B50D06A" w14:textId="3EE9F16E" w:rsidR="00110C47" w:rsidRPr="00FC6AA3" w:rsidRDefault="000C632B" w:rsidP="000C632B">
            <w:pPr>
              <w:pStyle w:val="ListParagraph"/>
              <w:numPr>
                <w:ilvl w:val="0"/>
                <w:numId w:val="27"/>
              </w:numPr>
              <w:spacing w:before="60" w:after="60"/>
              <w:rPr>
                <w:b w:val="0"/>
                <w:bCs w:val="0"/>
                <w:color w:val="000000" w:themeColor="text1"/>
              </w:rPr>
            </w:pPr>
            <w:r>
              <w:rPr>
                <w:b w:val="0"/>
                <w:bCs w:val="0"/>
                <w:color w:val="000000" w:themeColor="text1"/>
              </w:rPr>
              <w:t>Clasificado por hora adicional</w:t>
            </w:r>
          </w:p>
          <w:p w14:paraId="3D43EE4F" w14:textId="650BA10C" w:rsidR="00110C47" w:rsidRPr="00FC6AA3" w:rsidRDefault="00110C47" w:rsidP="7225BBEF">
            <w:pPr>
              <w:spacing w:before="60" w:after="60"/>
              <w:rPr>
                <w:b w:val="0"/>
                <w:bCs w:val="0"/>
                <w:color w:val="000000"/>
              </w:rPr>
            </w:pPr>
          </w:p>
        </w:tc>
        <w:tc>
          <w:tcPr>
            <w:tcW w:w="1063" w:type="pct"/>
            <w:shd w:val="clear" w:color="auto" w:fill="FFFFC9"/>
          </w:tcPr>
          <w:p w14:paraId="721A1EBE" w14:textId="63818920" w:rsidR="00110C47" w:rsidRPr="00204F08" w:rsidRDefault="00110C47" w:rsidP="7225BBEF">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themeColor="text1"/>
              </w:rPr>
              <w:t>$100,000</w:t>
            </w:r>
          </w:p>
        </w:tc>
        <w:tc>
          <w:tcPr>
            <w:tcW w:w="1093" w:type="pct"/>
            <w:shd w:val="clear" w:color="auto" w:fill="FFFFC9"/>
          </w:tcPr>
          <w:p w14:paraId="6F1A5B41" w14:textId="0C5C281A"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Los gastos reales se proporcionarán cuando estén disponibles</w:t>
            </w:r>
          </w:p>
        </w:tc>
      </w:tr>
      <w:tr w:rsidR="00110C47" w:rsidRPr="00204F08" w14:paraId="61CE4354" w14:textId="77777777" w:rsidTr="1A304E79">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40DDB0DA" w14:textId="18CAB6AC" w:rsidR="00110C47" w:rsidRPr="00FC6AA3" w:rsidRDefault="00110C47" w:rsidP="00110C47">
            <w:pPr>
              <w:spacing w:before="60" w:after="60"/>
              <w:rPr>
                <w:b w:val="0"/>
                <w:bCs w:val="0"/>
                <w:color w:val="000000"/>
              </w:rPr>
            </w:pPr>
            <w:r>
              <w:rPr>
                <w:b w:val="0"/>
                <w:color w:val="000000"/>
              </w:rPr>
              <w:lastRenderedPageBreak/>
              <w:t>Apoyos para que los estudiantes con deficiencias de créditos completen los requisitos de graduación o promoción de grado y para aumentar o mejorar la elegibilidad universitaria de los estudiantes.</w:t>
            </w:r>
          </w:p>
        </w:tc>
        <w:tc>
          <w:tcPr>
            <w:tcW w:w="1063" w:type="pct"/>
          </w:tcPr>
          <w:p w14:paraId="13D672B7" w14:textId="6A5C09DB"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$ 0.00</w:t>
            </w:r>
          </w:p>
        </w:tc>
        <w:tc>
          <w:tcPr>
            <w:tcW w:w="1093" w:type="pct"/>
          </w:tcPr>
          <w:p w14:paraId="24FB8FF4" w14:textId="7FEF49C5"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Los gastos reales se proporcionarán cuando estén disponibles</w:t>
            </w:r>
          </w:p>
        </w:tc>
      </w:tr>
      <w:tr w:rsidR="00110C47" w:rsidRPr="00204F08" w14:paraId="451D1FE3" w14:textId="77777777" w:rsidTr="1A304E79">
        <w:trPr>
          <w:cantSplit/>
          <w:trHeight w:val="20"/>
        </w:trPr>
        <w:tc>
          <w:tcPr>
            <w:cnfStyle w:val="001000000000" w:firstRow="0" w:lastRow="0" w:firstColumn="1" w:lastColumn="0" w:oddVBand="0" w:evenVBand="0" w:oddHBand="0" w:evenHBand="0" w:firstRowFirstColumn="0" w:firstRowLastColumn="0" w:lastRowFirstColumn="0" w:lastRowLastColumn="0"/>
            <w:tcW w:w="2844" w:type="pct"/>
            <w:shd w:val="clear" w:color="auto" w:fill="FFFFC9"/>
          </w:tcPr>
          <w:p w14:paraId="5EC71706" w14:textId="77777777" w:rsidR="00032935" w:rsidRPr="00032935" w:rsidRDefault="00110C47" w:rsidP="00032935">
            <w:pPr>
              <w:spacing w:before="60" w:after="60"/>
              <w:rPr>
                <w:color w:val="000000"/>
              </w:rPr>
            </w:pPr>
            <w:r>
              <w:rPr>
                <w:b w:val="0"/>
                <w:bCs w:val="0"/>
                <w:color w:val="000000"/>
              </w:rPr>
              <w:t>Servicios académicos adicionales para los estudiantes:</w:t>
            </w:r>
          </w:p>
          <w:p w14:paraId="7F74C46F" w14:textId="77777777" w:rsidR="00623704" w:rsidRPr="00627148" w:rsidRDefault="00623704" w:rsidP="00110C47">
            <w:pPr>
              <w:spacing w:before="60" w:after="60"/>
              <w:rPr>
                <w:b w:val="0"/>
                <w:bCs w:val="0"/>
                <w:color w:val="000000"/>
              </w:rPr>
            </w:pPr>
          </w:p>
          <w:p w14:paraId="75BF6368" w14:textId="77777777" w:rsidR="00532AB3" w:rsidRPr="009B2398" w:rsidRDefault="00CD706C" w:rsidP="009B2398">
            <w:pPr>
              <w:spacing w:before="60" w:after="60"/>
              <w:rPr>
                <w:color w:val="000000"/>
              </w:rPr>
            </w:pPr>
            <w:r>
              <w:rPr>
                <w:color w:val="000000"/>
              </w:rPr>
              <w:t>Sistema de evaluación de diagnóstico y plataforma de aprendizaje instructivo</w:t>
            </w:r>
          </w:p>
          <w:p w14:paraId="070EA51B" w14:textId="77777777" w:rsidR="009B2398" w:rsidRPr="009B2398" w:rsidRDefault="00CD706C" w:rsidP="009E0BB6">
            <w:pPr>
              <w:pStyle w:val="ListParagraph"/>
              <w:numPr>
                <w:ilvl w:val="0"/>
                <w:numId w:val="21"/>
              </w:numPr>
              <w:spacing w:before="60" w:after="60"/>
              <w:rPr>
                <w:b w:val="0"/>
                <w:bCs w:val="0"/>
                <w:color w:val="000000"/>
              </w:rPr>
            </w:pPr>
            <w:r>
              <w:rPr>
                <w:b w:val="0"/>
                <w:color w:val="000000"/>
              </w:rPr>
              <w:t>iReady</w:t>
            </w:r>
          </w:p>
          <w:p w14:paraId="2541A1D1" w14:textId="6929E3A2" w:rsidR="00532AB3" w:rsidRPr="009B2398" w:rsidRDefault="00532AB3" w:rsidP="009B2398">
            <w:pPr>
              <w:pStyle w:val="ListParagraph"/>
              <w:spacing w:before="60" w:after="60"/>
              <w:rPr>
                <w:b w:val="0"/>
                <w:color w:val="000000"/>
              </w:rPr>
            </w:pPr>
          </w:p>
        </w:tc>
        <w:tc>
          <w:tcPr>
            <w:tcW w:w="1063" w:type="pct"/>
            <w:shd w:val="clear" w:color="auto" w:fill="FFFFC9"/>
          </w:tcPr>
          <w:p w14:paraId="61E99FC6" w14:textId="1484D52A" w:rsidR="00110C47" w:rsidRPr="00204F08" w:rsidRDefault="693F05C3" w:rsidP="1A304E79">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themeColor="text1"/>
              </w:rPr>
              <w:t>$200,000</w:t>
            </w:r>
          </w:p>
        </w:tc>
        <w:tc>
          <w:tcPr>
            <w:tcW w:w="1093" w:type="pct"/>
            <w:shd w:val="clear" w:color="auto" w:fill="FFFFC9"/>
          </w:tcPr>
          <w:p w14:paraId="5AA34865" w14:textId="5A906B37" w:rsidR="00110C47" w:rsidRPr="00204F08" w:rsidRDefault="00110C47" w:rsidP="00110C47">
            <w:pPr>
              <w:spacing w:before="60" w:after="60"/>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Los gastos reales se proporcionarán cuando estén disponibles</w:t>
            </w:r>
          </w:p>
        </w:tc>
      </w:tr>
      <w:tr w:rsidR="00110C47" w:rsidRPr="00204F08" w14:paraId="7126D427" w14:textId="77777777" w:rsidTr="1A304E79">
        <w:trPr>
          <w:cantSplit/>
          <w:trHeight w:val="20"/>
        </w:trPr>
        <w:tc>
          <w:tcPr>
            <w:cnfStyle w:val="001000000000" w:firstRow="0" w:lastRow="0" w:firstColumn="1" w:lastColumn="0" w:oddVBand="0" w:evenVBand="0" w:oddHBand="0" w:evenHBand="0" w:firstRowFirstColumn="0" w:firstRowLastColumn="0" w:lastRowFirstColumn="0" w:lastRowLastColumn="0"/>
            <w:tcW w:w="2844" w:type="pct"/>
          </w:tcPr>
          <w:p w14:paraId="2C78FC26" w14:textId="77777777" w:rsidR="00032935" w:rsidRPr="00032935" w:rsidRDefault="00110C47" w:rsidP="00032935">
            <w:pPr>
              <w:spacing w:before="60" w:after="60"/>
              <w:rPr>
                <w:bCs w:val="0"/>
                <w:color w:val="000000"/>
              </w:rPr>
            </w:pPr>
            <w:r>
              <w:rPr>
                <w:b w:val="0"/>
                <w:color w:val="000000"/>
              </w:rPr>
              <w:t>Capacitación para el personal escolar sobre estrategias para involucrar a los estudiantes y a las familias en la atención de las necesidades académicas y de salud socio-emocional de los estudiantes.</w:t>
            </w:r>
          </w:p>
          <w:p w14:paraId="402BB93E" w14:textId="77777777" w:rsidR="00AC54EC" w:rsidRDefault="00AC54EC" w:rsidP="00110C47">
            <w:pPr>
              <w:spacing w:before="60" w:after="60"/>
              <w:rPr>
                <w:bCs w:val="0"/>
                <w:color w:val="000000"/>
              </w:rPr>
            </w:pPr>
          </w:p>
          <w:p w14:paraId="38487165" w14:textId="108B224F" w:rsidR="00C3565E" w:rsidRPr="00C3565E" w:rsidRDefault="00CE4BD9" w:rsidP="00FD5012">
            <w:pPr>
              <w:spacing w:before="60" w:after="60"/>
              <w:rPr>
                <w:b w:val="0"/>
                <w:bCs w:val="0"/>
                <w:color w:val="000000"/>
              </w:rPr>
            </w:pPr>
            <w:r>
              <w:rPr>
                <w:color w:val="000000"/>
              </w:rPr>
              <w:t>Desarrollo profesional</w:t>
            </w:r>
          </w:p>
          <w:p w14:paraId="2B97BB19" w14:textId="7F80FF55" w:rsidR="00FD5012" w:rsidRPr="00FD5012" w:rsidRDefault="00FD5012" w:rsidP="00F36064">
            <w:pPr>
              <w:pStyle w:val="ListParagraph"/>
              <w:numPr>
                <w:ilvl w:val="0"/>
                <w:numId w:val="21"/>
              </w:numPr>
              <w:spacing w:before="60" w:after="60"/>
              <w:rPr>
                <w:b w:val="0"/>
                <w:bCs w:val="0"/>
                <w:color w:val="000000"/>
              </w:rPr>
            </w:pPr>
            <w:r>
              <w:rPr>
                <w:b w:val="0"/>
                <w:bCs w:val="0"/>
                <w:color w:val="000000"/>
              </w:rPr>
              <w:t>Prácticas restauradoras (IIRP)</w:t>
            </w:r>
          </w:p>
          <w:p w14:paraId="5EDF87D4" w14:textId="4946640C" w:rsidR="00110C47" w:rsidRPr="00FC6AA3" w:rsidRDefault="00110C47" w:rsidP="002D7733">
            <w:pPr>
              <w:pStyle w:val="ListParagraph"/>
              <w:spacing w:before="60" w:after="60"/>
              <w:ind w:left="0"/>
              <w:rPr>
                <w:b w:val="0"/>
                <w:bCs w:val="0"/>
                <w:color w:val="000000"/>
              </w:rPr>
            </w:pPr>
          </w:p>
        </w:tc>
        <w:tc>
          <w:tcPr>
            <w:tcW w:w="1063" w:type="pct"/>
          </w:tcPr>
          <w:p w14:paraId="406AAE6D" w14:textId="6E642FA6" w:rsidR="00110C47" w:rsidRPr="00204F08" w:rsidRDefault="00197A0C" w:rsidP="7225BBEF">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themeColor="text1"/>
              </w:rPr>
              <w:t>$240,500</w:t>
            </w:r>
          </w:p>
        </w:tc>
        <w:tc>
          <w:tcPr>
            <w:tcW w:w="1093" w:type="pct"/>
          </w:tcPr>
          <w:p w14:paraId="57B26057" w14:textId="222CCD44" w:rsidR="00110C47" w:rsidRPr="00204F08" w:rsidRDefault="00110C47" w:rsidP="491D8EB4">
            <w:pPr>
              <w:spacing w:before="60" w:after="60"/>
              <w:cnfStyle w:val="000000000000" w:firstRow="0" w:lastRow="0" w:firstColumn="0" w:lastColumn="0" w:oddVBand="0" w:evenVBand="0" w:oddHBand="0" w:evenHBand="0" w:firstRowFirstColumn="0" w:firstRowLastColumn="0" w:lastRowFirstColumn="0" w:lastRowLastColumn="0"/>
              <w:rPr>
                <w:color w:val="000000"/>
              </w:rPr>
            </w:pPr>
            <w:r>
              <w:rPr>
                <w:color w:val="000000"/>
              </w:rPr>
              <w:t>Los gastos reales se proporcionarán cuando estén disponibles</w:t>
            </w:r>
          </w:p>
        </w:tc>
      </w:tr>
      <w:tr w:rsidR="61265364" w14:paraId="5E358431" w14:textId="77777777" w:rsidTr="001F127A">
        <w:trPr>
          <w:cantSplit/>
          <w:trHeight w:val="620"/>
        </w:trPr>
        <w:tc>
          <w:tcPr>
            <w:cnfStyle w:val="001000000000" w:firstRow="0" w:lastRow="0" w:firstColumn="1" w:lastColumn="0" w:oddVBand="0" w:evenVBand="0" w:oddHBand="0" w:evenHBand="0" w:firstRowFirstColumn="0" w:firstRowLastColumn="0" w:lastRowFirstColumn="0" w:lastRowLastColumn="0"/>
            <w:tcW w:w="2844" w:type="pct"/>
            <w:shd w:val="clear" w:color="auto" w:fill="FFFFC9"/>
          </w:tcPr>
          <w:p w14:paraId="7377B8B3" w14:textId="7456CD7E" w:rsidR="6225D66C" w:rsidRPr="00F02673" w:rsidRDefault="6225D66C" w:rsidP="61265364">
            <w:pPr>
              <w:rPr>
                <w:b w:val="0"/>
                <w:color w:val="000000" w:themeColor="text1"/>
                <w:szCs w:val="24"/>
              </w:rPr>
            </w:pPr>
            <w:r>
              <w:rPr>
                <w:b w:val="0"/>
                <w:color w:val="000000" w:themeColor="text1"/>
                <w:szCs w:val="24"/>
              </w:rPr>
              <w:t>Total de fondos para implementar las estrategias</w:t>
            </w:r>
          </w:p>
        </w:tc>
        <w:tc>
          <w:tcPr>
            <w:tcW w:w="1063" w:type="pct"/>
            <w:shd w:val="clear" w:color="auto" w:fill="FFFFC9"/>
          </w:tcPr>
          <w:p w14:paraId="4C288C56" w14:textId="27CFD826" w:rsidR="6225D66C" w:rsidRPr="00B5163C" w:rsidRDefault="001F127A" w:rsidP="61265364">
            <w:pP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themeColor="text1"/>
                <w:szCs w:val="24"/>
              </w:rPr>
              <w:t>$2562,940</w:t>
            </w:r>
          </w:p>
        </w:tc>
        <w:tc>
          <w:tcPr>
            <w:tcW w:w="1093" w:type="pct"/>
            <w:shd w:val="clear" w:color="auto" w:fill="FFFFC9"/>
          </w:tcPr>
          <w:p w14:paraId="6166FFD0" w14:textId="36072543" w:rsidR="6225D66C" w:rsidRPr="00B5163C" w:rsidRDefault="6225D66C" w:rsidP="61265364">
            <w:pPr>
              <w:cnfStyle w:val="000000000000" w:firstRow="0" w:lastRow="0" w:firstColumn="0" w:lastColumn="0" w:oddVBand="0" w:evenVBand="0" w:oddHBand="0" w:evenHBand="0" w:firstRowFirstColumn="0" w:firstRowLastColumn="0" w:lastRowFirstColumn="0" w:lastRowLastColumn="0"/>
              <w:rPr>
                <w:color w:val="000000" w:themeColor="text1"/>
                <w:szCs w:val="24"/>
              </w:rPr>
            </w:pPr>
            <w:r>
              <w:rPr>
                <w:color w:val="000000"/>
              </w:rPr>
              <w:t>Los gastos reales se proporcionarán cuando estén disponibles</w:t>
            </w:r>
          </w:p>
        </w:tc>
      </w:tr>
    </w:tbl>
    <w:p w14:paraId="234FECD7" w14:textId="5ACCE659" w:rsidR="00B76F12" w:rsidRPr="005B41CD" w:rsidRDefault="0092519D">
      <w:pPr>
        <w:spacing w:before="240" w:after="60"/>
        <w:rPr>
          <w:b/>
          <w:bCs/>
          <w:color w:val="000000"/>
        </w:rPr>
      </w:pPr>
      <w:r>
        <w:rPr>
          <w:b/>
          <w:bCs/>
          <w:color w:val="000000"/>
        </w:rPr>
        <w:t xml:space="preserve">Una </w:t>
      </w:r>
      <w:bookmarkStart w:id="5" w:name="_Hlk57635059"/>
      <w:r>
        <w:rPr>
          <w:b/>
          <w:bCs/>
          <w:color w:val="000000"/>
        </w:rPr>
        <w:t xml:space="preserve">descripción de </w:t>
      </w:r>
      <w:bookmarkEnd w:id="5"/>
      <w:r>
        <w:rPr>
          <w:b/>
          <w:bCs/>
          <w:color w:val="000000"/>
        </w:rPr>
        <w:t>cómo se coordinan los fondos de la subvención ELO con otros fondos federales de ayuda de emergencia para escuelas primarias y secundarias recibidos por la LEA</w:t>
      </w:r>
      <w:r w:rsidR="00D01F0C">
        <w:rPr>
          <w:b/>
          <w:bCs/>
          <w:color w:val="000000"/>
        </w:rPr>
        <w:t>.</w:t>
      </w:r>
    </w:p>
    <w:p w14:paraId="442E066E" w14:textId="6C86760C" w:rsidR="00FD007C" w:rsidRDefault="005B41CD" w:rsidP="006C0133">
      <w:pPr>
        <w:spacing w:after="160" w:line="259" w:lineRule="auto"/>
      </w:pPr>
      <w:r>
        <w:rPr>
          <w:rStyle w:val="eop"/>
          <w:shd w:val="clear" w:color="auto" w:fill="FFFFFF"/>
        </w:rPr>
        <w:t xml:space="preserve">El liderazgo del Distrito Escolar Eastside Union ha desarrollado planes para asegurar que los fondos proporcionados a través de </w:t>
      </w:r>
      <w:r>
        <w:rPr>
          <w:rStyle w:val="eop"/>
        </w:rPr>
        <w:t xml:space="preserve">los fondos federales de ayuda de emergencia para escuelas primarias y secundarias (ESSER) estén coordinados y alineados con el plan estratégico y los objetivos de aprendizaje establecidos por la mesa directiva. Para maximizar el apoyo a los estudiantes y al personal, los fondos de ESSER II ampliarán y extenderán los programas establecidos en el </w:t>
      </w:r>
      <w:r w:rsidR="00643775" w:rsidRPr="00643775">
        <w:rPr>
          <w:rStyle w:val="eop"/>
        </w:rPr>
        <w:t>Plan de Subvención para Oportunidades de Aprendizaje Ampliado</w:t>
      </w:r>
      <w:r>
        <w:rPr>
          <w:rStyle w:val="eop"/>
        </w:rPr>
        <w:t>, que proporcionan apoyos integrados a los estudiantes para tratar otros obstáculos al aprendizaje, como la provisión de servicios de salud, consejería o salud mental, programas para tratar los traumas de los estudiantes y el aprendizaje socio-emocional, y el acceso a los programas de comidas escolares.</w:t>
      </w:r>
    </w:p>
    <w:sectPr w:rsidR="00FD007C" w:rsidSect="00DA6B27">
      <w:headerReference w:type="default" r:id="rId13"/>
      <w:footerReference w:type="default" r:id="rId14"/>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C553" w14:textId="77777777" w:rsidR="008E3A0D" w:rsidRDefault="008E3A0D" w:rsidP="00357B9A">
      <w:r>
        <w:separator/>
      </w:r>
    </w:p>
  </w:endnote>
  <w:endnote w:type="continuationSeparator" w:id="0">
    <w:p w14:paraId="382AAB48" w14:textId="77777777" w:rsidR="008E3A0D" w:rsidRDefault="008E3A0D" w:rsidP="00357B9A">
      <w:r>
        <w:continuationSeparator/>
      </w:r>
    </w:p>
  </w:endnote>
  <w:endnote w:type="continuationNotice" w:id="1">
    <w:p w14:paraId="2286F026" w14:textId="77777777" w:rsidR="008E3A0D" w:rsidRDefault="008E3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944940"/>
      <w:docPartObj>
        <w:docPartGallery w:val="Page Numbers (Bottom of Page)"/>
        <w:docPartUnique/>
      </w:docPartObj>
    </w:sdtPr>
    <w:sdtEndPr/>
    <w:sdtContent>
      <w:sdt>
        <w:sdtPr>
          <w:id w:val="-252130485"/>
          <w:docPartObj>
            <w:docPartGallery w:val="Page Numbers (Top of Page)"/>
            <w:docPartUnique/>
          </w:docPartObj>
        </w:sdtPr>
        <w:sdtEndPr/>
        <w:sdtContent>
          <w:p w14:paraId="54DD19C5" w14:textId="1B988381" w:rsidR="00640B5E" w:rsidRDefault="003461B3" w:rsidP="00335C31">
            <w:pPr>
              <w:pStyle w:val="Footer"/>
              <w:jc w:val="right"/>
              <w:rPr>
                <w:b/>
                <w:bCs/>
                <w:szCs w:val="24"/>
              </w:rPr>
            </w:pPr>
            <w:r>
              <w:t xml:space="preserve">Página </w:t>
            </w:r>
            <w:r w:rsidRPr="00F365FE">
              <w:rPr>
                <w:b/>
                <w:bCs/>
                <w:color w:val="2B579A"/>
                <w:szCs w:val="24"/>
              </w:rPr>
              <w:fldChar w:fldCharType="begin"/>
            </w:r>
            <w:r w:rsidRPr="00F365FE">
              <w:rPr>
                <w:b/>
                <w:bCs/>
              </w:rPr>
              <w:instrText xml:space="preserve"> PAGE </w:instrText>
            </w:r>
            <w:r w:rsidRPr="00F365FE">
              <w:rPr>
                <w:b/>
                <w:bCs/>
                <w:color w:val="2B579A"/>
                <w:szCs w:val="24"/>
              </w:rPr>
              <w:fldChar w:fldCharType="separate"/>
            </w:r>
            <w:r w:rsidRPr="00F365FE">
              <w:rPr>
                <w:b/>
                <w:bCs/>
              </w:rPr>
              <w:t>5</w:t>
            </w:r>
            <w:r w:rsidRPr="00F365FE">
              <w:rPr>
                <w:b/>
                <w:bCs/>
                <w:color w:val="2B579A"/>
                <w:szCs w:val="24"/>
              </w:rPr>
              <w:fldChar w:fldCharType="end"/>
            </w:r>
            <w:r>
              <w:t xml:space="preserve"> de </w:t>
            </w:r>
            <w:r>
              <w:rPr>
                <w:b/>
                <w:bCs/>
                <w:szCs w:val="24"/>
              </w:rPr>
              <w:t>5</w:t>
            </w:r>
          </w:p>
          <w:p w14:paraId="40C188C5" w14:textId="2539C92D" w:rsidR="003461B3" w:rsidRDefault="008E3A0D" w:rsidP="00640B5E">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277A" w14:textId="77777777" w:rsidR="008E3A0D" w:rsidRDefault="008E3A0D" w:rsidP="00357B9A">
      <w:r>
        <w:separator/>
      </w:r>
    </w:p>
  </w:footnote>
  <w:footnote w:type="continuationSeparator" w:id="0">
    <w:p w14:paraId="6A12D5B3" w14:textId="77777777" w:rsidR="008E3A0D" w:rsidRDefault="008E3A0D" w:rsidP="00357B9A">
      <w:r>
        <w:continuationSeparator/>
      </w:r>
    </w:p>
  </w:footnote>
  <w:footnote w:type="continuationNotice" w:id="1">
    <w:p w14:paraId="7A0F6DF3" w14:textId="77777777" w:rsidR="008E3A0D" w:rsidRDefault="008E3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3188" w14:textId="0F5A240E" w:rsidR="003461B3" w:rsidRDefault="003461B3" w:rsidP="00DA6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17B"/>
    <w:multiLevelType w:val="hybridMultilevel"/>
    <w:tmpl w:val="89E8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0319C"/>
    <w:multiLevelType w:val="hybridMultilevel"/>
    <w:tmpl w:val="C0D09D6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15:restartNumberingAfterBreak="0">
    <w:nsid w:val="0B963BC1"/>
    <w:multiLevelType w:val="hybridMultilevel"/>
    <w:tmpl w:val="1EAE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7FE4"/>
    <w:multiLevelType w:val="hybridMultilevel"/>
    <w:tmpl w:val="FFFFFFFF"/>
    <w:lvl w:ilvl="0" w:tplc="4B00A41E">
      <w:start w:val="1"/>
      <w:numFmt w:val="bullet"/>
      <w:lvlText w:val=""/>
      <w:lvlJc w:val="left"/>
      <w:pPr>
        <w:ind w:left="720" w:hanging="360"/>
      </w:pPr>
      <w:rPr>
        <w:rFonts w:ascii="Symbol" w:hAnsi="Symbol" w:hint="default"/>
      </w:rPr>
    </w:lvl>
    <w:lvl w:ilvl="1" w:tplc="88FEDEF8">
      <w:start w:val="1"/>
      <w:numFmt w:val="bullet"/>
      <w:lvlText w:val="o"/>
      <w:lvlJc w:val="left"/>
      <w:pPr>
        <w:ind w:left="1440" w:hanging="360"/>
      </w:pPr>
      <w:rPr>
        <w:rFonts w:ascii="Courier New" w:hAnsi="Courier New" w:hint="default"/>
      </w:rPr>
    </w:lvl>
    <w:lvl w:ilvl="2" w:tplc="54383E6C">
      <w:start w:val="1"/>
      <w:numFmt w:val="bullet"/>
      <w:lvlText w:val=""/>
      <w:lvlJc w:val="left"/>
      <w:pPr>
        <w:ind w:left="2160" w:hanging="360"/>
      </w:pPr>
      <w:rPr>
        <w:rFonts w:ascii="Wingdings" w:hAnsi="Wingdings" w:hint="default"/>
      </w:rPr>
    </w:lvl>
    <w:lvl w:ilvl="3" w:tplc="FEC20F3C">
      <w:start w:val="1"/>
      <w:numFmt w:val="bullet"/>
      <w:lvlText w:val=""/>
      <w:lvlJc w:val="left"/>
      <w:pPr>
        <w:ind w:left="2880" w:hanging="360"/>
      </w:pPr>
      <w:rPr>
        <w:rFonts w:ascii="Symbol" w:hAnsi="Symbol" w:hint="default"/>
      </w:rPr>
    </w:lvl>
    <w:lvl w:ilvl="4" w:tplc="CEBA73F0">
      <w:start w:val="1"/>
      <w:numFmt w:val="bullet"/>
      <w:lvlText w:val="o"/>
      <w:lvlJc w:val="left"/>
      <w:pPr>
        <w:ind w:left="3600" w:hanging="360"/>
      </w:pPr>
      <w:rPr>
        <w:rFonts w:ascii="Courier New" w:hAnsi="Courier New" w:hint="default"/>
      </w:rPr>
    </w:lvl>
    <w:lvl w:ilvl="5" w:tplc="27F2CC8E">
      <w:start w:val="1"/>
      <w:numFmt w:val="bullet"/>
      <w:lvlText w:val=""/>
      <w:lvlJc w:val="left"/>
      <w:pPr>
        <w:ind w:left="4320" w:hanging="360"/>
      </w:pPr>
      <w:rPr>
        <w:rFonts w:ascii="Wingdings" w:hAnsi="Wingdings" w:hint="default"/>
      </w:rPr>
    </w:lvl>
    <w:lvl w:ilvl="6" w:tplc="085626AA">
      <w:start w:val="1"/>
      <w:numFmt w:val="bullet"/>
      <w:lvlText w:val=""/>
      <w:lvlJc w:val="left"/>
      <w:pPr>
        <w:ind w:left="5040" w:hanging="360"/>
      </w:pPr>
      <w:rPr>
        <w:rFonts w:ascii="Symbol" w:hAnsi="Symbol" w:hint="default"/>
      </w:rPr>
    </w:lvl>
    <w:lvl w:ilvl="7" w:tplc="912852B8">
      <w:start w:val="1"/>
      <w:numFmt w:val="bullet"/>
      <w:lvlText w:val="o"/>
      <w:lvlJc w:val="left"/>
      <w:pPr>
        <w:ind w:left="5760" w:hanging="360"/>
      </w:pPr>
      <w:rPr>
        <w:rFonts w:ascii="Courier New" w:hAnsi="Courier New" w:hint="default"/>
      </w:rPr>
    </w:lvl>
    <w:lvl w:ilvl="8" w:tplc="AE9899A0">
      <w:start w:val="1"/>
      <w:numFmt w:val="bullet"/>
      <w:lvlText w:val=""/>
      <w:lvlJc w:val="left"/>
      <w:pPr>
        <w:ind w:left="6480" w:hanging="360"/>
      </w:pPr>
      <w:rPr>
        <w:rFonts w:ascii="Wingdings" w:hAnsi="Wingdings" w:hint="default"/>
      </w:rPr>
    </w:lvl>
  </w:abstractNum>
  <w:abstractNum w:abstractNumId="4" w15:restartNumberingAfterBreak="0">
    <w:nsid w:val="0F486B0F"/>
    <w:multiLevelType w:val="hybridMultilevel"/>
    <w:tmpl w:val="FB2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72289"/>
    <w:multiLevelType w:val="hybridMultilevel"/>
    <w:tmpl w:val="2D02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F2169"/>
    <w:multiLevelType w:val="hybridMultilevel"/>
    <w:tmpl w:val="9C64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271B4"/>
    <w:multiLevelType w:val="hybridMultilevel"/>
    <w:tmpl w:val="D0EC9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F5C69"/>
    <w:multiLevelType w:val="hybridMultilevel"/>
    <w:tmpl w:val="DF8E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10DBB"/>
    <w:multiLevelType w:val="hybridMultilevel"/>
    <w:tmpl w:val="FFFFFFFF"/>
    <w:lvl w:ilvl="0" w:tplc="ED0EFAB4">
      <w:start w:val="1"/>
      <w:numFmt w:val="bullet"/>
      <w:lvlText w:val=""/>
      <w:lvlJc w:val="left"/>
      <w:pPr>
        <w:ind w:left="720" w:hanging="360"/>
      </w:pPr>
      <w:rPr>
        <w:rFonts w:ascii="Symbol" w:hAnsi="Symbol" w:hint="default"/>
      </w:rPr>
    </w:lvl>
    <w:lvl w:ilvl="1" w:tplc="8EF6D89C">
      <w:start w:val="1"/>
      <w:numFmt w:val="bullet"/>
      <w:lvlText w:val="o"/>
      <w:lvlJc w:val="left"/>
      <w:pPr>
        <w:ind w:left="1440" w:hanging="360"/>
      </w:pPr>
      <w:rPr>
        <w:rFonts w:ascii="Courier New" w:hAnsi="Courier New" w:hint="default"/>
      </w:rPr>
    </w:lvl>
    <w:lvl w:ilvl="2" w:tplc="6D16818A">
      <w:start w:val="1"/>
      <w:numFmt w:val="bullet"/>
      <w:lvlText w:val=""/>
      <w:lvlJc w:val="left"/>
      <w:pPr>
        <w:ind w:left="2160" w:hanging="360"/>
      </w:pPr>
      <w:rPr>
        <w:rFonts w:ascii="Wingdings" w:hAnsi="Wingdings" w:hint="default"/>
      </w:rPr>
    </w:lvl>
    <w:lvl w:ilvl="3" w:tplc="1EB43E6E">
      <w:start w:val="1"/>
      <w:numFmt w:val="bullet"/>
      <w:lvlText w:val=""/>
      <w:lvlJc w:val="left"/>
      <w:pPr>
        <w:ind w:left="2880" w:hanging="360"/>
      </w:pPr>
      <w:rPr>
        <w:rFonts w:ascii="Symbol" w:hAnsi="Symbol" w:hint="default"/>
      </w:rPr>
    </w:lvl>
    <w:lvl w:ilvl="4" w:tplc="5F1AFFE6">
      <w:start w:val="1"/>
      <w:numFmt w:val="bullet"/>
      <w:lvlText w:val="o"/>
      <w:lvlJc w:val="left"/>
      <w:pPr>
        <w:ind w:left="3600" w:hanging="360"/>
      </w:pPr>
      <w:rPr>
        <w:rFonts w:ascii="Courier New" w:hAnsi="Courier New" w:hint="default"/>
      </w:rPr>
    </w:lvl>
    <w:lvl w:ilvl="5" w:tplc="EA066DB0">
      <w:start w:val="1"/>
      <w:numFmt w:val="bullet"/>
      <w:lvlText w:val=""/>
      <w:lvlJc w:val="left"/>
      <w:pPr>
        <w:ind w:left="4320" w:hanging="360"/>
      </w:pPr>
      <w:rPr>
        <w:rFonts w:ascii="Wingdings" w:hAnsi="Wingdings" w:hint="default"/>
      </w:rPr>
    </w:lvl>
    <w:lvl w:ilvl="6" w:tplc="7700BC1E">
      <w:start w:val="1"/>
      <w:numFmt w:val="bullet"/>
      <w:lvlText w:val=""/>
      <w:lvlJc w:val="left"/>
      <w:pPr>
        <w:ind w:left="5040" w:hanging="360"/>
      </w:pPr>
      <w:rPr>
        <w:rFonts w:ascii="Symbol" w:hAnsi="Symbol" w:hint="default"/>
      </w:rPr>
    </w:lvl>
    <w:lvl w:ilvl="7" w:tplc="6362046A">
      <w:start w:val="1"/>
      <w:numFmt w:val="bullet"/>
      <w:lvlText w:val="o"/>
      <w:lvlJc w:val="left"/>
      <w:pPr>
        <w:ind w:left="5760" w:hanging="360"/>
      </w:pPr>
      <w:rPr>
        <w:rFonts w:ascii="Courier New" w:hAnsi="Courier New" w:hint="default"/>
      </w:rPr>
    </w:lvl>
    <w:lvl w:ilvl="8" w:tplc="B3C4059E">
      <w:start w:val="1"/>
      <w:numFmt w:val="bullet"/>
      <w:lvlText w:val=""/>
      <w:lvlJc w:val="left"/>
      <w:pPr>
        <w:ind w:left="6480" w:hanging="360"/>
      </w:pPr>
      <w:rPr>
        <w:rFonts w:ascii="Wingdings" w:hAnsi="Wingdings" w:hint="default"/>
      </w:rPr>
    </w:lvl>
  </w:abstractNum>
  <w:abstractNum w:abstractNumId="10" w15:restartNumberingAfterBreak="0">
    <w:nsid w:val="264C710D"/>
    <w:multiLevelType w:val="hybridMultilevel"/>
    <w:tmpl w:val="8B1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F34F7"/>
    <w:multiLevelType w:val="hybridMultilevel"/>
    <w:tmpl w:val="00F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859E1"/>
    <w:multiLevelType w:val="hybridMultilevel"/>
    <w:tmpl w:val="E34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D4BEE"/>
    <w:multiLevelType w:val="hybridMultilevel"/>
    <w:tmpl w:val="3A12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F8658F"/>
    <w:multiLevelType w:val="hybridMultilevel"/>
    <w:tmpl w:val="B8CC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137BD"/>
    <w:multiLevelType w:val="hybridMultilevel"/>
    <w:tmpl w:val="163EB5E2"/>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6" w15:restartNumberingAfterBreak="0">
    <w:nsid w:val="4DE8797B"/>
    <w:multiLevelType w:val="hybridMultilevel"/>
    <w:tmpl w:val="5EFE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109C1"/>
    <w:multiLevelType w:val="hybridMultilevel"/>
    <w:tmpl w:val="D570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31BCE"/>
    <w:multiLevelType w:val="hybridMultilevel"/>
    <w:tmpl w:val="C9E2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B596B"/>
    <w:multiLevelType w:val="hybridMultilevel"/>
    <w:tmpl w:val="63D4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A599F"/>
    <w:multiLevelType w:val="hybridMultilevel"/>
    <w:tmpl w:val="04A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757C6"/>
    <w:multiLevelType w:val="hybridMultilevel"/>
    <w:tmpl w:val="2E4A128A"/>
    <w:lvl w:ilvl="0" w:tplc="AECC5A8E">
      <w:start w:val="1"/>
      <w:numFmt w:val="bullet"/>
      <w:lvlText w:val=""/>
      <w:lvlJc w:val="left"/>
      <w:pPr>
        <w:ind w:left="720" w:hanging="360"/>
      </w:pPr>
      <w:rPr>
        <w:rFonts w:ascii="Symbol" w:hAnsi="Symbol" w:hint="default"/>
      </w:rPr>
    </w:lvl>
    <w:lvl w:ilvl="1" w:tplc="7F1A7CD0">
      <w:start w:val="1"/>
      <w:numFmt w:val="bullet"/>
      <w:lvlText w:val="o"/>
      <w:lvlJc w:val="left"/>
      <w:pPr>
        <w:ind w:left="1440" w:hanging="360"/>
      </w:pPr>
      <w:rPr>
        <w:rFonts w:ascii="Courier New" w:hAnsi="Courier New" w:hint="default"/>
      </w:rPr>
    </w:lvl>
    <w:lvl w:ilvl="2" w:tplc="D4D20784">
      <w:start w:val="1"/>
      <w:numFmt w:val="bullet"/>
      <w:lvlText w:val=""/>
      <w:lvlJc w:val="left"/>
      <w:pPr>
        <w:ind w:left="2160" w:hanging="360"/>
      </w:pPr>
      <w:rPr>
        <w:rFonts w:ascii="Wingdings" w:hAnsi="Wingdings" w:hint="default"/>
      </w:rPr>
    </w:lvl>
    <w:lvl w:ilvl="3" w:tplc="9E968490">
      <w:start w:val="1"/>
      <w:numFmt w:val="bullet"/>
      <w:lvlText w:val=""/>
      <w:lvlJc w:val="left"/>
      <w:pPr>
        <w:ind w:left="2880" w:hanging="360"/>
      </w:pPr>
      <w:rPr>
        <w:rFonts w:ascii="Symbol" w:hAnsi="Symbol" w:hint="default"/>
      </w:rPr>
    </w:lvl>
    <w:lvl w:ilvl="4" w:tplc="F1E0E204">
      <w:start w:val="1"/>
      <w:numFmt w:val="bullet"/>
      <w:lvlText w:val="o"/>
      <w:lvlJc w:val="left"/>
      <w:pPr>
        <w:ind w:left="3600" w:hanging="360"/>
      </w:pPr>
      <w:rPr>
        <w:rFonts w:ascii="Courier New" w:hAnsi="Courier New" w:hint="default"/>
      </w:rPr>
    </w:lvl>
    <w:lvl w:ilvl="5" w:tplc="56B24B04">
      <w:start w:val="1"/>
      <w:numFmt w:val="bullet"/>
      <w:lvlText w:val=""/>
      <w:lvlJc w:val="left"/>
      <w:pPr>
        <w:ind w:left="4320" w:hanging="360"/>
      </w:pPr>
      <w:rPr>
        <w:rFonts w:ascii="Wingdings" w:hAnsi="Wingdings" w:hint="default"/>
      </w:rPr>
    </w:lvl>
    <w:lvl w:ilvl="6" w:tplc="6F1262B0">
      <w:start w:val="1"/>
      <w:numFmt w:val="bullet"/>
      <w:lvlText w:val=""/>
      <w:lvlJc w:val="left"/>
      <w:pPr>
        <w:ind w:left="5040" w:hanging="360"/>
      </w:pPr>
      <w:rPr>
        <w:rFonts w:ascii="Symbol" w:hAnsi="Symbol" w:hint="default"/>
      </w:rPr>
    </w:lvl>
    <w:lvl w:ilvl="7" w:tplc="62EC7638">
      <w:start w:val="1"/>
      <w:numFmt w:val="bullet"/>
      <w:lvlText w:val="o"/>
      <w:lvlJc w:val="left"/>
      <w:pPr>
        <w:ind w:left="5760" w:hanging="360"/>
      </w:pPr>
      <w:rPr>
        <w:rFonts w:ascii="Courier New" w:hAnsi="Courier New" w:hint="default"/>
      </w:rPr>
    </w:lvl>
    <w:lvl w:ilvl="8" w:tplc="D4A8AF62">
      <w:start w:val="1"/>
      <w:numFmt w:val="bullet"/>
      <w:lvlText w:val=""/>
      <w:lvlJc w:val="left"/>
      <w:pPr>
        <w:ind w:left="6480" w:hanging="360"/>
      </w:pPr>
      <w:rPr>
        <w:rFonts w:ascii="Wingdings" w:hAnsi="Wingdings" w:hint="default"/>
      </w:rPr>
    </w:lvl>
  </w:abstractNum>
  <w:abstractNum w:abstractNumId="22" w15:restartNumberingAfterBreak="0">
    <w:nsid w:val="6A162375"/>
    <w:multiLevelType w:val="hybridMultilevel"/>
    <w:tmpl w:val="066C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2F1244"/>
    <w:multiLevelType w:val="hybridMultilevel"/>
    <w:tmpl w:val="E3D045CC"/>
    <w:lvl w:ilvl="0" w:tplc="1EFE3ECA">
      <w:start w:val="1"/>
      <w:numFmt w:val="bullet"/>
      <w:lvlText w:val=""/>
      <w:lvlJc w:val="left"/>
      <w:pPr>
        <w:ind w:left="720" w:hanging="360"/>
      </w:pPr>
      <w:rPr>
        <w:rFonts w:ascii="Symbol" w:hAnsi="Symbol" w:hint="default"/>
      </w:rPr>
    </w:lvl>
    <w:lvl w:ilvl="1" w:tplc="56846E3A">
      <w:start w:val="1"/>
      <w:numFmt w:val="bullet"/>
      <w:lvlText w:val="o"/>
      <w:lvlJc w:val="left"/>
      <w:pPr>
        <w:ind w:left="1440" w:hanging="360"/>
      </w:pPr>
      <w:rPr>
        <w:rFonts w:ascii="Courier New" w:hAnsi="Courier New" w:hint="default"/>
      </w:rPr>
    </w:lvl>
    <w:lvl w:ilvl="2" w:tplc="29FAB1FE">
      <w:start w:val="1"/>
      <w:numFmt w:val="bullet"/>
      <w:lvlText w:val=""/>
      <w:lvlJc w:val="left"/>
      <w:pPr>
        <w:ind w:left="2160" w:hanging="360"/>
      </w:pPr>
      <w:rPr>
        <w:rFonts w:ascii="Wingdings" w:hAnsi="Wingdings" w:hint="default"/>
      </w:rPr>
    </w:lvl>
    <w:lvl w:ilvl="3" w:tplc="108877BE">
      <w:start w:val="1"/>
      <w:numFmt w:val="bullet"/>
      <w:lvlText w:val=""/>
      <w:lvlJc w:val="left"/>
      <w:pPr>
        <w:ind w:left="2880" w:hanging="360"/>
      </w:pPr>
      <w:rPr>
        <w:rFonts w:ascii="Symbol" w:hAnsi="Symbol" w:hint="default"/>
      </w:rPr>
    </w:lvl>
    <w:lvl w:ilvl="4" w:tplc="1486AEAC">
      <w:start w:val="1"/>
      <w:numFmt w:val="bullet"/>
      <w:lvlText w:val="o"/>
      <w:lvlJc w:val="left"/>
      <w:pPr>
        <w:ind w:left="3600" w:hanging="360"/>
      </w:pPr>
      <w:rPr>
        <w:rFonts w:ascii="Courier New" w:hAnsi="Courier New" w:hint="default"/>
      </w:rPr>
    </w:lvl>
    <w:lvl w:ilvl="5" w:tplc="9F6EB0A0">
      <w:start w:val="1"/>
      <w:numFmt w:val="bullet"/>
      <w:lvlText w:val=""/>
      <w:lvlJc w:val="left"/>
      <w:pPr>
        <w:ind w:left="4320" w:hanging="360"/>
      </w:pPr>
      <w:rPr>
        <w:rFonts w:ascii="Wingdings" w:hAnsi="Wingdings" w:hint="default"/>
      </w:rPr>
    </w:lvl>
    <w:lvl w:ilvl="6" w:tplc="6994CA06">
      <w:start w:val="1"/>
      <w:numFmt w:val="bullet"/>
      <w:lvlText w:val=""/>
      <w:lvlJc w:val="left"/>
      <w:pPr>
        <w:ind w:left="5040" w:hanging="360"/>
      </w:pPr>
      <w:rPr>
        <w:rFonts w:ascii="Symbol" w:hAnsi="Symbol" w:hint="default"/>
      </w:rPr>
    </w:lvl>
    <w:lvl w:ilvl="7" w:tplc="069CE12A">
      <w:start w:val="1"/>
      <w:numFmt w:val="bullet"/>
      <w:lvlText w:val="o"/>
      <w:lvlJc w:val="left"/>
      <w:pPr>
        <w:ind w:left="5760" w:hanging="360"/>
      </w:pPr>
      <w:rPr>
        <w:rFonts w:ascii="Courier New" w:hAnsi="Courier New" w:hint="default"/>
      </w:rPr>
    </w:lvl>
    <w:lvl w:ilvl="8" w:tplc="93325996">
      <w:start w:val="1"/>
      <w:numFmt w:val="bullet"/>
      <w:lvlText w:val=""/>
      <w:lvlJc w:val="left"/>
      <w:pPr>
        <w:ind w:left="6480" w:hanging="360"/>
      </w:pPr>
      <w:rPr>
        <w:rFonts w:ascii="Wingdings" w:hAnsi="Wingdings" w:hint="default"/>
      </w:rPr>
    </w:lvl>
  </w:abstractNum>
  <w:abstractNum w:abstractNumId="24" w15:restartNumberingAfterBreak="0">
    <w:nsid w:val="70C33787"/>
    <w:multiLevelType w:val="hybridMultilevel"/>
    <w:tmpl w:val="909A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E0621"/>
    <w:multiLevelType w:val="hybridMultilevel"/>
    <w:tmpl w:val="A7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C2F8E"/>
    <w:multiLevelType w:val="hybridMultilevel"/>
    <w:tmpl w:val="34D4F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7"/>
  </w:num>
  <w:num w:numId="5">
    <w:abstractNumId w:val="25"/>
  </w:num>
  <w:num w:numId="6">
    <w:abstractNumId w:val="12"/>
  </w:num>
  <w:num w:numId="7">
    <w:abstractNumId w:val="19"/>
  </w:num>
  <w:num w:numId="8">
    <w:abstractNumId w:val="13"/>
  </w:num>
  <w:num w:numId="9">
    <w:abstractNumId w:val="2"/>
  </w:num>
  <w:num w:numId="10">
    <w:abstractNumId w:val="14"/>
  </w:num>
  <w:num w:numId="11">
    <w:abstractNumId w:val="26"/>
  </w:num>
  <w:num w:numId="12">
    <w:abstractNumId w:val="10"/>
  </w:num>
  <w:num w:numId="13">
    <w:abstractNumId w:val="7"/>
  </w:num>
  <w:num w:numId="14">
    <w:abstractNumId w:val="16"/>
  </w:num>
  <w:num w:numId="15">
    <w:abstractNumId w:val="5"/>
  </w:num>
  <w:num w:numId="16">
    <w:abstractNumId w:val="1"/>
  </w:num>
  <w:num w:numId="17">
    <w:abstractNumId w:val="18"/>
  </w:num>
  <w:num w:numId="18">
    <w:abstractNumId w:val="24"/>
  </w:num>
  <w:num w:numId="19">
    <w:abstractNumId w:val="8"/>
  </w:num>
  <w:num w:numId="20">
    <w:abstractNumId w:val="22"/>
  </w:num>
  <w:num w:numId="21">
    <w:abstractNumId w:val="6"/>
  </w:num>
  <w:num w:numId="22">
    <w:abstractNumId w:val="9"/>
  </w:num>
  <w:num w:numId="23">
    <w:abstractNumId w:val="23"/>
  </w:num>
  <w:num w:numId="24">
    <w:abstractNumId w:val="3"/>
  </w:num>
  <w:num w:numId="25">
    <w:abstractNumId w:val="0"/>
  </w:num>
  <w:num w:numId="26">
    <w:abstractNumId w:val="2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12"/>
    <w:rsid w:val="000039A2"/>
    <w:rsid w:val="000039D7"/>
    <w:rsid w:val="000040E5"/>
    <w:rsid w:val="00006136"/>
    <w:rsid w:val="00006356"/>
    <w:rsid w:val="00006E47"/>
    <w:rsid w:val="00014BAD"/>
    <w:rsid w:val="000202AF"/>
    <w:rsid w:val="00024AC2"/>
    <w:rsid w:val="00025D9E"/>
    <w:rsid w:val="00026BE2"/>
    <w:rsid w:val="00030CFB"/>
    <w:rsid w:val="00032935"/>
    <w:rsid w:val="000411BE"/>
    <w:rsid w:val="00041A77"/>
    <w:rsid w:val="00042934"/>
    <w:rsid w:val="00044578"/>
    <w:rsid w:val="000447B8"/>
    <w:rsid w:val="00052F1E"/>
    <w:rsid w:val="00057D56"/>
    <w:rsid w:val="0006129D"/>
    <w:rsid w:val="000615A1"/>
    <w:rsid w:val="00061EB7"/>
    <w:rsid w:val="00062680"/>
    <w:rsid w:val="00063BF6"/>
    <w:rsid w:val="00066C61"/>
    <w:rsid w:val="0007193D"/>
    <w:rsid w:val="00073ED2"/>
    <w:rsid w:val="00077BF2"/>
    <w:rsid w:val="00077E9C"/>
    <w:rsid w:val="00080F86"/>
    <w:rsid w:val="00082701"/>
    <w:rsid w:val="00084EBF"/>
    <w:rsid w:val="00086593"/>
    <w:rsid w:val="00096D0D"/>
    <w:rsid w:val="000A0129"/>
    <w:rsid w:val="000A046F"/>
    <w:rsid w:val="000A2CA3"/>
    <w:rsid w:val="000A2CC6"/>
    <w:rsid w:val="000B092C"/>
    <w:rsid w:val="000B5451"/>
    <w:rsid w:val="000B54EE"/>
    <w:rsid w:val="000B5833"/>
    <w:rsid w:val="000B6C93"/>
    <w:rsid w:val="000C632B"/>
    <w:rsid w:val="000C78CD"/>
    <w:rsid w:val="000D0BCB"/>
    <w:rsid w:val="000D351B"/>
    <w:rsid w:val="000E0DCE"/>
    <w:rsid w:val="000F43A5"/>
    <w:rsid w:val="000F493C"/>
    <w:rsid w:val="000F57A4"/>
    <w:rsid w:val="000F68D7"/>
    <w:rsid w:val="000F79EA"/>
    <w:rsid w:val="00101005"/>
    <w:rsid w:val="00110C47"/>
    <w:rsid w:val="00120355"/>
    <w:rsid w:val="00121DF1"/>
    <w:rsid w:val="00124AAF"/>
    <w:rsid w:val="00127652"/>
    <w:rsid w:val="00130888"/>
    <w:rsid w:val="0013389C"/>
    <w:rsid w:val="00134159"/>
    <w:rsid w:val="001450C1"/>
    <w:rsid w:val="001617A2"/>
    <w:rsid w:val="00163F45"/>
    <w:rsid w:val="001701C5"/>
    <w:rsid w:val="001769E9"/>
    <w:rsid w:val="00176A5A"/>
    <w:rsid w:val="001815FD"/>
    <w:rsid w:val="00182004"/>
    <w:rsid w:val="00185B2F"/>
    <w:rsid w:val="00186A09"/>
    <w:rsid w:val="00197A0C"/>
    <w:rsid w:val="001A24D9"/>
    <w:rsid w:val="001A388A"/>
    <w:rsid w:val="001A4AED"/>
    <w:rsid w:val="001A4FF1"/>
    <w:rsid w:val="001A6292"/>
    <w:rsid w:val="001B14A1"/>
    <w:rsid w:val="001B2ABE"/>
    <w:rsid w:val="001B61D6"/>
    <w:rsid w:val="001C0C05"/>
    <w:rsid w:val="001C1B27"/>
    <w:rsid w:val="001D124D"/>
    <w:rsid w:val="001E71CB"/>
    <w:rsid w:val="001F127A"/>
    <w:rsid w:val="001F3666"/>
    <w:rsid w:val="001F3A94"/>
    <w:rsid w:val="001F4AC7"/>
    <w:rsid w:val="001F77DC"/>
    <w:rsid w:val="00201305"/>
    <w:rsid w:val="00201546"/>
    <w:rsid w:val="00203FDE"/>
    <w:rsid w:val="00204F08"/>
    <w:rsid w:val="002054E8"/>
    <w:rsid w:val="002064C2"/>
    <w:rsid w:val="00206F78"/>
    <w:rsid w:val="00221965"/>
    <w:rsid w:val="002315D3"/>
    <w:rsid w:val="0023738C"/>
    <w:rsid w:val="0024176D"/>
    <w:rsid w:val="0024296B"/>
    <w:rsid w:val="002511D3"/>
    <w:rsid w:val="002607DB"/>
    <w:rsid w:val="002671A8"/>
    <w:rsid w:val="00267236"/>
    <w:rsid w:val="002677C0"/>
    <w:rsid w:val="00270851"/>
    <w:rsid w:val="00273C5E"/>
    <w:rsid w:val="00286C09"/>
    <w:rsid w:val="00291E86"/>
    <w:rsid w:val="00296A7E"/>
    <w:rsid w:val="002A2D2C"/>
    <w:rsid w:val="002A59EB"/>
    <w:rsid w:val="002B2694"/>
    <w:rsid w:val="002B5BD5"/>
    <w:rsid w:val="002B5F2F"/>
    <w:rsid w:val="002C57A9"/>
    <w:rsid w:val="002D0443"/>
    <w:rsid w:val="002D0635"/>
    <w:rsid w:val="002D1E9C"/>
    <w:rsid w:val="002D3FB5"/>
    <w:rsid w:val="002D5B3C"/>
    <w:rsid w:val="002D7733"/>
    <w:rsid w:val="002E0C54"/>
    <w:rsid w:val="002E1A72"/>
    <w:rsid w:val="002E238F"/>
    <w:rsid w:val="002E264F"/>
    <w:rsid w:val="002E2FE8"/>
    <w:rsid w:val="002F230D"/>
    <w:rsid w:val="002F3CCF"/>
    <w:rsid w:val="003000F9"/>
    <w:rsid w:val="003069C9"/>
    <w:rsid w:val="003070D2"/>
    <w:rsid w:val="003070E3"/>
    <w:rsid w:val="00311AD4"/>
    <w:rsid w:val="0031471B"/>
    <w:rsid w:val="00315270"/>
    <w:rsid w:val="003217EE"/>
    <w:rsid w:val="00322E97"/>
    <w:rsid w:val="00323D70"/>
    <w:rsid w:val="003252FC"/>
    <w:rsid w:val="00332AF8"/>
    <w:rsid w:val="00335C31"/>
    <w:rsid w:val="003461B3"/>
    <w:rsid w:val="00351E0E"/>
    <w:rsid w:val="00353A0E"/>
    <w:rsid w:val="00355B48"/>
    <w:rsid w:val="00355DA8"/>
    <w:rsid w:val="00357897"/>
    <w:rsid w:val="00357B9A"/>
    <w:rsid w:val="003606BB"/>
    <w:rsid w:val="00363471"/>
    <w:rsid w:val="0036408B"/>
    <w:rsid w:val="00373669"/>
    <w:rsid w:val="00374FAC"/>
    <w:rsid w:val="00377DD4"/>
    <w:rsid w:val="00383AC2"/>
    <w:rsid w:val="00383C1A"/>
    <w:rsid w:val="0039094C"/>
    <w:rsid w:val="00397C6D"/>
    <w:rsid w:val="003A0C1B"/>
    <w:rsid w:val="003A462D"/>
    <w:rsid w:val="003A796A"/>
    <w:rsid w:val="003B0F09"/>
    <w:rsid w:val="003B4635"/>
    <w:rsid w:val="003B6E3A"/>
    <w:rsid w:val="003C1736"/>
    <w:rsid w:val="003C575A"/>
    <w:rsid w:val="003C603B"/>
    <w:rsid w:val="003D083B"/>
    <w:rsid w:val="003D0F43"/>
    <w:rsid w:val="003D33D5"/>
    <w:rsid w:val="003D48F1"/>
    <w:rsid w:val="003D59F4"/>
    <w:rsid w:val="003E457A"/>
    <w:rsid w:val="00401187"/>
    <w:rsid w:val="00403EA3"/>
    <w:rsid w:val="00414AF8"/>
    <w:rsid w:val="00417819"/>
    <w:rsid w:val="004220F9"/>
    <w:rsid w:val="00430863"/>
    <w:rsid w:val="00434FA4"/>
    <w:rsid w:val="00451093"/>
    <w:rsid w:val="00452781"/>
    <w:rsid w:val="0045442B"/>
    <w:rsid w:val="00455E16"/>
    <w:rsid w:val="00461241"/>
    <w:rsid w:val="004719A8"/>
    <w:rsid w:val="004738DF"/>
    <w:rsid w:val="004810E6"/>
    <w:rsid w:val="00481D5A"/>
    <w:rsid w:val="00483CEC"/>
    <w:rsid w:val="00484B45"/>
    <w:rsid w:val="00484D3C"/>
    <w:rsid w:val="00485143"/>
    <w:rsid w:val="004A336D"/>
    <w:rsid w:val="004A5753"/>
    <w:rsid w:val="004A5CB6"/>
    <w:rsid w:val="004A74A6"/>
    <w:rsid w:val="004A7A2F"/>
    <w:rsid w:val="004B32E1"/>
    <w:rsid w:val="004B330E"/>
    <w:rsid w:val="004B740E"/>
    <w:rsid w:val="004C21CA"/>
    <w:rsid w:val="004C5985"/>
    <w:rsid w:val="004D06FB"/>
    <w:rsid w:val="004E13B3"/>
    <w:rsid w:val="004E331D"/>
    <w:rsid w:val="004E575C"/>
    <w:rsid w:val="004F0C24"/>
    <w:rsid w:val="004F4B93"/>
    <w:rsid w:val="005036A0"/>
    <w:rsid w:val="00504F76"/>
    <w:rsid w:val="00515785"/>
    <w:rsid w:val="00515816"/>
    <w:rsid w:val="00521FC3"/>
    <w:rsid w:val="00524964"/>
    <w:rsid w:val="005263DA"/>
    <w:rsid w:val="005278AE"/>
    <w:rsid w:val="00532AB3"/>
    <w:rsid w:val="00533CD5"/>
    <w:rsid w:val="00542316"/>
    <w:rsid w:val="00543265"/>
    <w:rsid w:val="00546ECA"/>
    <w:rsid w:val="005475DB"/>
    <w:rsid w:val="00561263"/>
    <w:rsid w:val="00562549"/>
    <w:rsid w:val="005645EE"/>
    <w:rsid w:val="0056526C"/>
    <w:rsid w:val="00565A60"/>
    <w:rsid w:val="00567BCD"/>
    <w:rsid w:val="00571281"/>
    <w:rsid w:val="00577789"/>
    <w:rsid w:val="005801DD"/>
    <w:rsid w:val="00586AAF"/>
    <w:rsid w:val="0058759E"/>
    <w:rsid w:val="00594AA2"/>
    <w:rsid w:val="005A2A4B"/>
    <w:rsid w:val="005A3624"/>
    <w:rsid w:val="005A5020"/>
    <w:rsid w:val="005A5451"/>
    <w:rsid w:val="005B3F02"/>
    <w:rsid w:val="005B41CD"/>
    <w:rsid w:val="005B4F3A"/>
    <w:rsid w:val="005C1008"/>
    <w:rsid w:val="005C6996"/>
    <w:rsid w:val="005D4956"/>
    <w:rsid w:val="005D72AF"/>
    <w:rsid w:val="005E4C85"/>
    <w:rsid w:val="005E6756"/>
    <w:rsid w:val="005E6D6C"/>
    <w:rsid w:val="005F4826"/>
    <w:rsid w:val="00600845"/>
    <w:rsid w:val="006009A5"/>
    <w:rsid w:val="006110B3"/>
    <w:rsid w:val="00614184"/>
    <w:rsid w:val="006144ED"/>
    <w:rsid w:val="00616165"/>
    <w:rsid w:val="00623704"/>
    <w:rsid w:val="006241DC"/>
    <w:rsid w:val="00624395"/>
    <w:rsid w:val="00624689"/>
    <w:rsid w:val="00625DCE"/>
    <w:rsid w:val="00627148"/>
    <w:rsid w:val="00627CD1"/>
    <w:rsid w:val="0063252A"/>
    <w:rsid w:val="00633BE9"/>
    <w:rsid w:val="00633FB5"/>
    <w:rsid w:val="00634A4A"/>
    <w:rsid w:val="006373CE"/>
    <w:rsid w:val="00640B5E"/>
    <w:rsid w:val="00640D24"/>
    <w:rsid w:val="006420A7"/>
    <w:rsid w:val="00642F1C"/>
    <w:rsid w:val="00643775"/>
    <w:rsid w:val="0064602A"/>
    <w:rsid w:val="006479E4"/>
    <w:rsid w:val="00650E58"/>
    <w:rsid w:val="00651050"/>
    <w:rsid w:val="0065248C"/>
    <w:rsid w:val="00655796"/>
    <w:rsid w:val="006565FC"/>
    <w:rsid w:val="00661B33"/>
    <w:rsid w:val="00662F4E"/>
    <w:rsid w:val="006634FA"/>
    <w:rsid w:val="00664E95"/>
    <w:rsid w:val="00672AEC"/>
    <w:rsid w:val="00673C3B"/>
    <w:rsid w:val="0068127E"/>
    <w:rsid w:val="0068792F"/>
    <w:rsid w:val="00691D8C"/>
    <w:rsid w:val="006954EC"/>
    <w:rsid w:val="00696FC3"/>
    <w:rsid w:val="00697AB7"/>
    <w:rsid w:val="006A5C74"/>
    <w:rsid w:val="006B3183"/>
    <w:rsid w:val="006B679B"/>
    <w:rsid w:val="006B6F16"/>
    <w:rsid w:val="006C0133"/>
    <w:rsid w:val="006D5C60"/>
    <w:rsid w:val="006E1B82"/>
    <w:rsid w:val="006E66B3"/>
    <w:rsid w:val="006E6DE3"/>
    <w:rsid w:val="006E746D"/>
    <w:rsid w:val="006F160C"/>
    <w:rsid w:val="006F53A6"/>
    <w:rsid w:val="006F7000"/>
    <w:rsid w:val="006F7849"/>
    <w:rsid w:val="00702B21"/>
    <w:rsid w:val="007113CD"/>
    <w:rsid w:val="00712A2B"/>
    <w:rsid w:val="00714BD6"/>
    <w:rsid w:val="00715455"/>
    <w:rsid w:val="007229D6"/>
    <w:rsid w:val="007251FB"/>
    <w:rsid w:val="00726A04"/>
    <w:rsid w:val="00735768"/>
    <w:rsid w:val="00736B87"/>
    <w:rsid w:val="00744124"/>
    <w:rsid w:val="00752116"/>
    <w:rsid w:val="0076113F"/>
    <w:rsid w:val="00777727"/>
    <w:rsid w:val="00784F16"/>
    <w:rsid w:val="007970A2"/>
    <w:rsid w:val="007A01E1"/>
    <w:rsid w:val="007B0C79"/>
    <w:rsid w:val="007B45FA"/>
    <w:rsid w:val="007B54E0"/>
    <w:rsid w:val="007B714C"/>
    <w:rsid w:val="007C0A40"/>
    <w:rsid w:val="007C0F33"/>
    <w:rsid w:val="007C104B"/>
    <w:rsid w:val="007C1267"/>
    <w:rsid w:val="007C2686"/>
    <w:rsid w:val="007C3633"/>
    <w:rsid w:val="007C3C63"/>
    <w:rsid w:val="007C79F8"/>
    <w:rsid w:val="007D0CE2"/>
    <w:rsid w:val="007D4963"/>
    <w:rsid w:val="007D58BC"/>
    <w:rsid w:val="007E1B7F"/>
    <w:rsid w:val="007E3609"/>
    <w:rsid w:val="007E7843"/>
    <w:rsid w:val="00802BE2"/>
    <w:rsid w:val="00805F85"/>
    <w:rsid w:val="00806A9C"/>
    <w:rsid w:val="00807736"/>
    <w:rsid w:val="00807901"/>
    <w:rsid w:val="00807D67"/>
    <w:rsid w:val="008128EA"/>
    <w:rsid w:val="00813AD3"/>
    <w:rsid w:val="008205E3"/>
    <w:rsid w:val="008240E1"/>
    <w:rsid w:val="00825666"/>
    <w:rsid w:val="00825FBC"/>
    <w:rsid w:val="00827131"/>
    <w:rsid w:val="0082773A"/>
    <w:rsid w:val="008337E7"/>
    <w:rsid w:val="00834375"/>
    <w:rsid w:val="00837EE7"/>
    <w:rsid w:val="00845DF4"/>
    <w:rsid w:val="00846623"/>
    <w:rsid w:val="0084715B"/>
    <w:rsid w:val="00855490"/>
    <w:rsid w:val="008602A1"/>
    <w:rsid w:val="00861DD9"/>
    <w:rsid w:val="0086416F"/>
    <w:rsid w:val="008649AA"/>
    <w:rsid w:val="0086744A"/>
    <w:rsid w:val="00872BFE"/>
    <w:rsid w:val="00875E47"/>
    <w:rsid w:val="00877754"/>
    <w:rsid w:val="00882D17"/>
    <w:rsid w:val="00887FE0"/>
    <w:rsid w:val="0089227B"/>
    <w:rsid w:val="00892D7B"/>
    <w:rsid w:val="00892E9F"/>
    <w:rsid w:val="008951F0"/>
    <w:rsid w:val="00895EB7"/>
    <w:rsid w:val="00896A7C"/>
    <w:rsid w:val="00897B48"/>
    <w:rsid w:val="008A753B"/>
    <w:rsid w:val="008B1045"/>
    <w:rsid w:val="008B635A"/>
    <w:rsid w:val="008C3521"/>
    <w:rsid w:val="008C4C6A"/>
    <w:rsid w:val="008D696B"/>
    <w:rsid w:val="008E3405"/>
    <w:rsid w:val="008E3A0D"/>
    <w:rsid w:val="008E4C94"/>
    <w:rsid w:val="008E59C0"/>
    <w:rsid w:val="00901EEF"/>
    <w:rsid w:val="009039D9"/>
    <w:rsid w:val="00903BEB"/>
    <w:rsid w:val="00903D03"/>
    <w:rsid w:val="00905088"/>
    <w:rsid w:val="009079AB"/>
    <w:rsid w:val="00912AA2"/>
    <w:rsid w:val="00914A9D"/>
    <w:rsid w:val="00915E86"/>
    <w:rsid w:val="00917704"/>
    <w:rsid w:val="00922862"/>
    <w:rsid w:val="0092519D"/>
    <w:rsid w:val="00926837"/>
    <w:rsid w:val="00927216"/>
    <w:rsid w:val="00927ECE"/>
    <w:rsid w:val="00930825"/>
    <w:rsid w:val="00930E6E"/>
    <w:rsid w:val="00932BB1"/>
    <w:rsid w:val="00936D3A"/>
    <w:rsid w:val="009401FE"/>
    <w:rsid w:val="009426F3"/>
    <w:rsid w:val="009444C8"/>
    <w:rsid w:val="00944B0E"/>
    <w:rsid w:val="009508DA"/>
    <w:rsid w:val="009534E0"/>
    <w:rsid w:val="00956ECA"/>
    <w:rsid w:val="00972C63"/>
    <w:rsid w:val="00973284"/>
    <w:rsid w:val="00974EF1"/>
    <w:rsid w:val="00976AE0"/>
    <w:rsid w:val="00977739"/>
    <w:rsid w:val="0098225B"/>
    <w:rsid w:val="0098543A"/>
    <w:rsid w:val="00985BA5"/>
    <w:rsid w:val="009873CD"/>
    <w:rsid w:val="00987961"/>
    <w:rsid w:val="00995048"/>
    <w:rsid w:val="00996076"/>
    <w:rsid w:val="009A391E"/>
    <w:rsid w:val="009A573E"/>
    <w:rsid w:val="009A5B23"/>
    <w:rsid w:val="009A6081"/>
    <w:rsid w:val="009B2398"/>
    <w:rsid w:val="009B70AE"/>
    <w:rsid w:val="009C13E5"/>
    <w:rsid w:val="009C38D7"/>
    <w:rsid w:val="009C4029"/>
    <w:rsid w:val="009C7264"/>
    <w:rsid w:val="009D4239"/>
    <w:rsid w:val="009D6308"/>
    <w:rsid w:val="009E0A0A"/>
    <w:rsid w:val="009E0BB6"/>
    <w:rsid w:val="009E483A"/>
    <w:rsid w:val="009F1294"/>
    <w:rsid w:val="009F26B6"/>
    <w:rsid w:val="009F4330"/>
    <w:rsid w:val="009F6725"/>
    <w:rsid w:val="00A00290"/>
    <w:rsid w:val="00A00396"/>
    <w:rsid w:val="00A00B6A"/>
    <w:rsid w:val="00A046EE"/>
    <w:rsid w:val="00A1362C"/>
    <w:rsid w:val="00A16D52"/>
    <w:rsid w:val="00A16E89"/>
    <w:rsid w:val="00A17435"/>
    <w:rsid w:val="00A23265"/>
    <w:rsid w:val="00A35210"/>
    <w:rsid w:val="00A47285"/>
    <w:rsid w:val="00A631B9"/>
    <w:rsid w:val="00A66C03"/>
    <w:rsid w:val="00A703B9"/>
    <w:rsid w:val="00A710A2"/>
    <w:rsid w:val="00A75DB5"/>
    <w:rsid w:val="00A76C7D"/>
    <w:rsid w:val="00A9207A"/>
    <w:rsid w:val="00A93D31"/>
    <w:rsid w:val="00A951AB"/>
    <w:rsid w:val="00A962BD"/>
    <w:rsid w:val="00A975F1"/>
    <w:rsid w:val="00AA04A2"/>
    <w:rsid w:val="00AA206F"/>
    <w:rsid w:val="00AB1E31"/>
    <w:rsid w:val="00AB4CE8"/>
    <w:rsid w:val="00AB7F05"/>
    <w:rsid w:val="00AC0C22"/>
    <w:rsid w:val="00AC10A4"/>
    <w:rsid w:val="00AC14BE"/>
    <w:rsid w:val="00AC5116"/>
    <w:rsid w:val="00AC54EC"/>
    <w:rsid w:val="00AC7C18"/>
    <w:rsid w:val="00AD39DC"/>
    <w:rsid w:val="00AE2101"/>
    <w:rsid w:val="00AE4481"/>
    <w:rsid w:val="00AE7EF8"/>
    <w:rsid w:val="00AF507B"/>
    <w:rsid w:val="00AF51FB"/>
    <w:rsid w:val="00AF5B4C"/>
    <w:rsid w:val="00AF6468"/>
    <w:rsid w:val="00AF7C70"/>
    <w:rsid w:val="00B00944"/>
    <w:rsid w:val="00B00FEE"/>
    <w:rsid w:val="00B04B38"/>
    <w:rsid w:val="00B205E1"/>
    <w:rsid w:val="00B305C1"/>
    <w:rsid w:val="00B31FC7"/>
    <w:rsid w:val="00B327F6"/>
    <w:rsid w:val="00B32D20"/>
    <w:rsid w:val="00B342C6"/>
    <w:rsid w:val="00B43A49"/>
    <w:rsid w:val="00B44426"/>
    <w:rsid w:val="00B45470"/>
    <w:rsid w:val="00B46085"/>
    <w:rsid w:val="00B473C1"/>
    <w:rsid w:val="00B5163C"/>
    <w:rsid w:val="00B62A82"/>
    <w:rsid w:val="00B64CB9"/>
    <w:rsid w:val="00B67BA0"/>
    <w:rsid w:val="00B72C68"/>
    <w:rsid w:val="00B75AF0"/>
    <w:rsid w:val="00B76F02"/>
    <w:rsid w:val="00B76F12"/>
    <w:rsid w:val="00B771A2"/>
    <w:rsid w:val="00B86F56"/>
    <w:rsid w:val="00B909B6"/>
    <w:rsid w:val="00B96B2E"/>
    <w:rsid w:val="00BA0BF9"/>
    <w:rsid w:val="00BA276D"/>
    <w:rsid w:val="00BA2EC4"/>
    <w:rsid w:val="00BA35CE"/>
    <w:rsid w:val="00BA4EFC"/>
    <w:rsid w:val="00BB10CD"/>
    <w:rsid w:val="00BB3E6E"/>
    <w:rsid w:val="00BB3ED2"/>
    <w:rsid w:val="00BB6466"/>
    <w:rsid w:val="00BC14F0"/>
    <w:rsid w:val="00BC43C2"/>
    <w:rsid w:val="00BC5D4F"/>
    <w:rsid w:val="00BC6052"/>
    <w:rsid w:val="00BC659D"/>
    <w:rsid w:val="00BD1866"/>
    <w:rsid w:val="00BE32F6"/>
    <w:rsid w:val="00BF11B3"/>
    <w:rsid w:val="00BF2CBC"/>
    <w:rsid w:val="00BF39D4"/>
    <w:rsid w:val="00C033F9"/>
    <w:rsid w:val="00C04BAA"/>
    <w:rsid w:val="00C07855"/>
    <w:rsid w:val="00C1327F"/>
    <w:rsid w:val="00C23BEC"/>
    <w:rsid w:val="00C24F26"/>
    <w:rsid w:val="00C3102D"/>
    <w:rsid w:val="00C32A5F"/>
    <w:rsid w:val="00C32E6F"/>
    <w:rsid w:val="00C336D7"/>
    <w:rsid w:val="00C3565E"/>
    <w:rsid w:val="00C43A06"/>
    <w:rsid w:val="00C443C2"/>
    <w:rsid w:val="00C4470B"/>
    <w:rsid w:val="00C47658"/>
    <w:rsid w:val="00C531C4"/>
    <w:rsid w:val="00C55FCA"/>
    <w:rsid w:val="00C60122"/>
    <w:rsid w:val="00C66F01"/>
    <w:rsid w:val="00C700ED"/>
    <w:rsid w:val="00C84A59"/>
    <w:rsid w:val="00C85158"/>
    <w:rsid w:val="00C858CF"/>
    <w:rsid w:val="00C85C6F"/>
    <w:rsid w:val="00C85D3B"/>
    <w:rsid w:val="00CA09C3"/>
    <w:rsid w:val="00CA1414"/>
    <w:rsid w:val="00CA1860"/>
    <w:rsid w:val="00CC6F36"/>
    <w:rsid w:val="00CD3AFB"/>
    <w:rsid w:val="00CD706C"/>
    <w:rsid w:val="00CE4BD9"/>
    <w:rsid w:val="00CE5571"/>
    <w:rsid w:val="00CF1088"/>
    <w:rsid w:val="00CF113A"/>
    <w:rsid w:val="00CF3AFA"/>
    <w:rsid w:val="00D01D14"/>
    <w:rsid w:val="00D01F0C"/>
    <w:rsid w:val="00D0663C"/>
    <w:rsid w:val="00D069C3"/>
    <w:rsid w:val="00D10E3B"/>
    <w:rsid w:val="00D114F6"/>
    <w:rsid w:val="00D14A1D"/>
    <w:rsid w:val="00D24200"/>
    <w:rsid w:val="00D2D47E"/>
    <w:rsid w:val="00D3225B"/>
    <w:rsid w:val="00D352E9"/>
    <w:rsid w:val="00D433FF"/>
    <w:rsid w:val="00D43665"/>
    <w:rsid w:val="00D44372"/>
    <w:rsid w:val="00D54775"/>
    <w:rsid w:val="00D55167"/>
    <w:rsid w:val="00D5623B"/>
    <w:rsid w:val="00D563BF"/>
    <w:rsid w:val="00D615F4"/>
    <w:rsid w:val="00D634C5"/>
    <w:rsid w:val="00D6614A"/>
    <w:rsid w:val="00D80BA1"/>
    <w:rsid w:val="00D83347"/>
    <w:rsid w:val="00D87DF7"/>
    <w:rsid w:val="00D91595"/>
    <w:rsid w:val="00D94216"/>
    <w:rsid w:val="00D96E48"/>
    <w:rsid w:val="00D96EE5"/>
    <w:rsid w:val="00DA1C57"/>
    <w:rsid w:val="00DA2DE4"/>
    <w:rsid w:val="00DA6B27"/>
    <w:rsid w:val="00DB1C30"/>
    <w:rsid w:val="00DB49CF"/>
    <w:rsid w:val="00DC5657"/>
    <w:rsid w:val="00DC639F"/>
    <w:rsid w:val="00DD2BB0"/>
    <w:rsid w:val="00DD6CE2"/>
    <w:rsid w:val="00DD7415"/>
    <w:rsid w:val="00DF00E3"/>
    <w:rsid w:val="00DF133F"/>
    <w:rsid w:val="00DF20EF"/>
    <w:rsid w:val="00DF7EE2"/>
    <w:rsid w:val="00E01595"/>
    <w:rsid w:val="00E02CF6"/>
    <w:rsid w:val="00E06709"/>
    <w:rsid w:val="00E10A21"/>
    <w:rsid w:val="00E111DC"/>
    <w:rsid w:val="00E14049"/>
    <w:rsid w:val="00E146A1"/>
    <w:rsid w:val="00E1512A"/>
    <w:rsid w:val="00E21CA9"/>
    <w:rsid w:val="00E2298A"/>
    <w:rsid w:val="00E27741"/>
    <w:rsid w:val="00E2786C"/>
    <w:rsid w:val="00E31A7E"/>
    <w:rsid w:val="00E32613"/>
    <w:rsid w:val="00E32EAE"/>
    <w:rsid w:val="00E3345C"/>
    <w:rsid w:val="00E34AC9"/>
    <w:rsid w:val="00E417AA"/>
    <w:rsid w:val="00E419B9"/>
    <w:rsid w:val="00E41B65"/>
    <w:rsid w:val="00E44BB3"/>
    <w:rsid w:val="00E44D47"/>
    <w:rsid w:val="00E47025"/>
    <w:rsid w:val="00E508FB"/>
    <w:rsid w:val="00E561FF"/>
    <w:rsid w:val="00E613CE"/>
    <w:rsid w:val="00E61CFA"/>
    <w:rsid w:val="00E61ED9"/>
    <w:rsid w:val="00E61F5C"/>
    <w:rsid w:val="00E649C8"/>
    <w:rsid w:val="00E67739"/>
    <w:rsid w:val="00E8711E"/>
    <w:rsid w:val="00EA1BCB"/>
    <w:rsid w:val="00EA270F"/>
    <w:rsid w:val="00EA2C73"/>
    <w:rsid w:val="00EA57C4"/>
    <w:rsid w:val="00EB253D"/>
    <w:rsid w:val="00EC0DF7"/>
    <w:rsid w:val="00EC1C46"/>
    <w:rsid w:val="00ED67BB"/>
    <w:rsid w:val="00EE1955"/>
    <w:rsid w:val="00EE3C6C"/>
    <w:rsid w:val="00EE5E2E"/>
    <w:rsid w:val="00EF1348"/>
    <w:rsid w:val="00EF1BED"/>
    <w:rsid w:val="00EF2AB1"/>
    <w:rsid w:val="00EF3639"/>
    <w:rsid w:val="00EF5166"/>
    <w:rsid w:val="00EF58E5"/>
    <w:rsid w:val="00EF6EB1"/>
    <w:rsid w:val="00F02673"/>
    <w:rsid w:val="00F06642"/>
    <w:rsid w:val="00F10498"/>
    <w:rsid w:val="00F13CCB"/>
    <w:rsid w:val="00F1426F"/>
    <w:rsid w:val="00F143D3"/>
    <w:rsid w:val="00F22621"/>
    <w:rsid w:val="00F33571"/>
    <w:rsid w:val="00F35116"/>
    <w:rsid w:val="00F36064"/>
    <w:rsid w:val="00F365FE"/>
    <w:rsid w:val="00F4712B"/>
    <w:rsid w:val="00F5017F"/>
    <w:rsid w:val="00F5035A"/>
    <w:rsid w:val="00F50CE2"/>
    <w:rsid w:val="00F512EF"/>
    <w:rsid w:val="00F52176"/>
    <w:rsid w:val="00F53783"/>
    <w:rsid w:val="00F5652B"/>
    <w:rsid w:val="00F607C6"/>
    <w:rsid w:val="00F71670"/>
    <w:rsid w:val="00F75232"/>
    <w:rsid w:val="00F86E8F"/>
    <w:rsid w:val="00F9337C"/>
    <w:rsid w:val="00F94CF5"/>
    <w:rsid w:val="00FA049E"/>
    <w:rsid w:val="00FB10EF"/>
    <w:rsid w:val="00FB4284"/>
    <w:rsid w:val="00FC1E3F"/>
    <w:rsid w:val="00FC4548"/>
    <w:rsid w:val="00FC45E7"/>
    <w:rsid w:val="00FC5BB2"/>
    <w:rsid w:val="00FC5C16"/>
    <w:rsid w:val="00FC6AA3"/>
    <w:rsid w:val="00FD007C"/>
    <w:rsid w:val="00FD0119"/>
    <w:rsid w:val="00FD1D1F"/>
    <w:rsid w:val="00FD44B1"/>
    <w:rsid w:val="00FD5012"/>
    <w:rsid w:val="00FD7E5F"/>
    <w:rsid w:val="00FE05F8"/>
    <w:rsid w:val="00FE64FA"/>
    <w:rsid w:val="00FF0050"/>
    <w:rsid w:val="00FF11CF"/>
    <w:rsid w:val="00FF30DC"/>
    <w:rsid w:val="00FF4403"/>
    <w:rsid w:val="00FF6410"/>
    <w:rsid w:val="00FF6646"/>
    <w:rsid w:val="026EA4DF"/>
    <w:rsid w:val="02BD17FD"/>
    <w:rsid w:val="02D09688"/>
    <w:rsid w:val="035240FE"/>
    <w:rsid w:val="0393DC39"/>
    <w:rsid w:val="03B749E5"/>
    <w:rsid w:val="041FA23E"/>
    <w:rsid w:val="043965D4"/>
    <w:rsid w:val="043D0268"/>
    <w:rsid w:val="045EAAD5"/>
    <w:rsid w:val="04CBB9C0"/>
    <w:rsid w:val="04D42B1B"/>
    <w:rsid w:val="050AE0A1"/>
    <w:rsid w:val="05CF9C61"/>
    <w:rsid w:val="05D43B0C"/>
    <w:rsid w:val="06A4B3B3"/>
    <w:rsid w:val="075C4516"/>
    <w:rsid w:val="08035D85"/>
    <w:rsid w:val="0839984B"/>
    <w:rsid w:val="08F9FF2A"/>
    <w:rsid w:val="0C70464B"/>
    <w:rsid w:val="0D6DD85A"/>
    <w:rsid w:val="0DCABC51"/>
    <w:rsid w:val="0F73FA15"/>
    <w:rsid w:val="10B942D7"/>
    <w:rsid w:val="10C1E088"/>
    <w:rsid w:val="119BBFAB"/>
    <w:rsid w:val="11EAF039"/>
    <w:rsid w:val="141CCBD9"/>
    <w:rsid w:val="1535C2E3"/>
    <w:rsid w:val="15FD50F8"/>
    <w:rsid w:val="16A1AF20"/>
    <w:rsid w:val="17314ED4"/>
    <w:rsid w:val="174DB764"/>
    <w:rsid w:val="18B1C66B"/>
    <w:rsid w:val="19AC6B09"/>
    <w:rsid w:val="1A304E79"/>
    <w:rsid w:val="1A46B66A"/>
    <w:rsid w:val="1B1C1401"/>
    <w:rsid w:val="1CA0B734"/>
    <w:rsid w:val="1CB29F82"/>
    <w:rsid w:val="1DA1C387"/>
    <w:rsid w:val="1F2EE8C7"/>
    <w:rsid w:val="1F43EEB2"/>
    <w:rsid w:val="1F9B7DBE"/>
    <w:rsid w:val="20F16AB6"/>
    <w:rsid w:val="2108339A"/>
    <w:rsid w:val="210B8232"/>
    <w:rsid w:val="2237B5E0"/>
    <w:rsid w:val="23C6E911"/>
    <w:rsid w:val="2468AB0A"/>
    <w:rsid w:val="24DFE765"/>
    <w:rsid w:val="25DB8172"/>
    <w:rsid w:val="276D9845"/>
    <w:rsid w:val="28226386"/>
    <w:rsid w:val="292392C2"/>
    <w:rsid w:val="29F723F9"/>
    <w:rsid w:val="2B4C223D"/>
    <w:rsid w:val="2C97157B"/>
    <w:rsid w:val="2CD4D41F"/>
    <w:rsid w:val="2CEBC3DD"/>
    <w:rsid w:val="2EF001FC"/>
    <w:rsid w:val="312EA4A7"/>
    <w:rsid w:val="31663468"/>
    <w:rsid w:val="32211EB8"/>
    <w:rsid w:val="32849AD9"/>
    <w:rsid w:val="3414FD46"/>
    <w:rsid w:val="34A9B559"/>
    <w:rsid w:val="35C4A212"/>
    <w:rsid w:val="361C44DE"/>
    <w:rsid w:val="37298AED"/>
    <w:rsid w:val="37D8B6F5"/>
    <w:rsid w:val="3B20FB28"/>
    <w:rsid w:val="3BAED8A1"/>
    <w:rsid w:val="3C657656"/>
    <w:rsid w:val="3CA96458"/>
    <w:rsid w:val="3D42C79B"/>
    <w:rsid w:val="3D81CA80"/>
    <w:rsid w:val="3DF97F4F"/>
    <w:rsid w:val="411AA1EC"/>
    <w:rsid w:val="41495210"/>
    <w:rsid w:val="41576116"/>
    <w:rsid w:val="424F828B"/>
    <w:rsid w:val="4298F9E2"/>
    <w:rsid w:val="43ACAC8D"/>
    <w:rsid w:val="45402D20"/>
    <w:rsid w:val="45BE9F44"/>
    <w:rsid w:val="46D6DA7D"/>
    <w:rsid w:val="46EF06B6"/>
    <w:rsid w:val="46F04E9B"/>
    <w:rsid w:val="46FAC1B0"/>
    <w:rsid w:val="4775FE46"/>
    <w:rsid w:val="483CED29"/>
    <w:rsid w:val="484D9ADD"/>
    <w:rsid w:val="491D8EB4"/>
    <w:rsid w:val="49282B1E"/>
    <w:rsid w:val="4A576981"/>
    <w:rsid w:val="4A79806A"/>
    <w:rsid w:val="4AF3983D"/>
    <w:rsid w:val="4CBC2E23"/>
    <w:rsid w:val="4CE39E33"/>
    <w:rsid w:val="4CF735EF"/>
    <w:rsid w:val="4EAA3D84"/>
    <w:rsid w:val="4F2FA9E9"/>
    <w:rsid w:val="4F7BA9F7"/>
    <w:rsid w:val="502ED6B1"/>
    <w:rsid w:val="50C8F342"/>
    <w:rsid w:val="50EA9B11"/>
    <w:rsid w:val="5289BC66"/>
    <w:rsid w:val="536473CE"/>
    <w:rsid w:val="5394E10B"/>
    <w:rsid w:val="54EA80E4"/>
    <w:rsid w:val="553D407E"/>
    <w:rsid w:val="56D667D4"/>
    <w:rsid w:val="5760D7B9"/>
    <w:rsid w:val="5767AAC5"/>
    <w:rsid w:val="57D9CC8B"/>
    <w:rsid w:val="57EB8010"/>
    <w:rsid w:val="57F8ED73"/>
    <w:rsid w:val="580D785D"/>
    <w:rsid w:val="5819F8B3"/>
    <w:rsid w:val="5A7254DE"/>
    <w:rsid w:val="5ABCA53E"/>
    <w:rsid w:val="5C61D31E"/>
    <w:rsid w:val="5F32EE86"/>
    <w:rsid w:val="602DD5DC"/>
    <w:rsid w:val="61265364"/>
    <w:rsid w:val="61E203C3"/>
    <w:rsid w:val="6225D66C"/>
    <w:rsid w:val="628DCFB3"/>
    <w:rsid w:val="62A7CDB6"/>
    <w:rsid w:val="633D5B5E"/>
    <w:rsid w:val="639E205F"/>
    <w:rsid w:val="64CF410A"/>
    <w:rsid w:val="64D56448"/>
    <w:rsid w:val="64F45DF8"/>
    <w:rsid w:val="6590CC89"/>
    <w:rsid w:val="65EBC3BC"/>
    <w:rsid w:val="66197D8F"/>
    <w:rsid w:val="6654EEBE"/>
    <w:rsid w:val="665CA930"/>
    <w:rsid w:val="6662D551"/>
    <w:rsid w:val="66809A05"/>
    <w:rsid w:val="66BC2985"/>
    <w:rsid w:val="67506004"/>
    <w:rsid w:val="67A01267"/>
    <w:rsid w:val="680192ED"/>
    <w:rsid w:val="68237ED5"/>
    <w:rsid w:val="68B19ECE"/>
    <w:rsid w:val="693F05C3"/>
    <w:rsid w:val="699449F2"/>
    <w:rsid w:val="6B3BFAAC"/>
    <w:rsid w:val="6CC2916E"/>
    <w:rsid w:val="6E625E83"/>
    <w:rsid w:val="6E6C03C6"/>
    <w:rsid w:val="6EF6E1CC"/>
    <w:rsid w:val="6F4D7306"/>
    <w:rsid w:val="70D0DBF4"/>
    <w:rsid w:val="720C8936"/>
    <w:rsid w:val="7225BBEF"/>
    <w:rsid w:val="75CABF8C"/>
    <w:rsid w:val="75EEB061"/>
    <w:rsid w:val="7699B1B4"/>
    <w:rsid w:val="7729DF0C"/>
    <w:rsid w:val="775430BE"/>
    <w:rsid w:val="77C0DA9A"/>
    <w:rsid w:val="785860C5"/>
    <w:rsid w:val="78C7C298"/>
    <w:rsid w:val="7B0FEE62"/>
    <w:rsid w:val="7B427971"/>
    <w:rsid w:val="7B6A32A5"/>
    <w:rsid w:val="7C1B80C4"/>
    <w:rsid w:val="7C805908"/>
    <w:rsid w:val="7D9B33BB"/>
    <w:rsid w:val="7D9E5B99"/>
    <w:rsid w:val="7DA31A5E"/>
    <w:rsid w:val="7DB22AE2"/>
    <w:rsid w:val="7DE099E9"/>
    <w:rsid w:val="7E09BF5F"/>
    <w:rsid w:val="7E55BB24"/>
    <w:rsid w:val="7EF792EB"/>
    <w:rsid w:val="7FA58FC0"/>
    <w:rsid w:val="7FAAE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9C888"/>
  <w15:docId w15:val="{EEF7D2E9-C09C-4DFD-9D70-5AC12BA6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B9"/>
    <w:rPr>
      <w:szCs w:val="22"/>
    </w:rPr>
  </w:style>
  <w:style w:type="paragraph" w:styleId="Heading1">
    <w:name w:val="heading 1"/>
    <w:basedOn w:val="Normal"/>
    <w:next w:val="Normal"/>
    <w:uiPriority w:val="9"/>
    <w:qFormat/>
    <w:rsid w:val="00F5017F"/>
    <w:pPr>
      <w:keepNext/>
      <w:keepLines/>
      <w:spacing w:before="120" w:after="120"/>
      <w:outlineLvl w:val="0"/>
    </w:pPr>
    <w:rPr>
      <w:b/>
      <w:sz w:val="40"/>
      <w:szCs w:val="40"/>
    </w:rPr>
  </w:style>
  <w:style w:type="paragraph" w:styleId="Heading2">
    <w:name w:val="heading 2"/>
    <w:basedOn w:val="Normal"/>
    <w:next w:val="Normal"/>
    <w:uiPriority w:val="9"/>
    <w:unhideWhenUsed/>
    <w:qFormat/>
    <w:rsid w:val="008E3405"/>
    <w:pPr>
      <w:keepNext/>
      <w:keepLines/>
      <w:spacing w:before="160" w:after="120"/>
      <w:outlineLvl w:val="1"/>
    </w:pPr>
    <w:rPr>
      <w:b/>
      <w:sz w:val="36"/>
      <w:szCs w:val="28"/>
    </w:rPr>
  </w:style>
  <w:style w:type="paragraph" w:styleId="Heading3">
    <w:name w:val="heading 3"/>
    <w:basedOn w:val="Normal"/>
    <w:next w:val="Normal"/>
    <w:uiPriority w:val="9"/>
    <w:unhideWhenUsed/>
    <w:qFormat/>
    <w:rsid w:val="004810E6"/>
    <w:pPr>
      <w:spacing w:before="240" w:after="60"/>
      <w:outlineLvl w:val="2"/>
    </w:pPr>
    <w:rPr>
      <w:rFonts w:eastAsia="Calibri"/>
      <w:b/>
      <w:color w:val="000000"/>
      <w:szCs w:val="24"/>
    </w:rPr>
  </w:style>
  <w:style w:type="paragraph" w:styleId="Heading4">
    <w:name w:val="heading 4"/>
    <w:basedOn w:val="Normal"/>
    <w:next w:val="Normal"/>
    <w:uiPriority w:val="9"/>
    <w:unhideWhenUsed/>
    <w:qFormat/>
    <w:rsid w:val="008E3405"/>
    <w:pPr>
      <w:keepNext/>
      <w:keepLines/>
      <w:spacing w:before="240" w:after="40"/>
      <w:outlineLvl w:val="3"/>
    </w:pPr>
    <w:rPr>
      <w:b/>
      <w:sz w:val="28"/>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PlainTable41">
    <w:name w:val="Plain Table 41"/>
    <w:basedOn w:val="TableNormal"/>
    <w:uiPriority w:val="44"/>
    <w:rsid w:val="00A711B9"/>
    <w:pPr>
      <w:spacing w:after="12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E75B5"/>
    </w:rPr>
    <w:tblPr>
      <w:tblStyleRowBandSize w:val="1"/>
      <w:tblStyleColBandSize w:val="1"/>
      <w:tblCellMar>
        <w:top w:w="29" w:type="dxa"/>
        <w:left w:w="29" w:type="dxa"/>
        <w:bottom w:w="29" w:type="dxa"/>
        <w:right w:w="29" w:type="dxa"/>
      </w:tblCellMar>
    </w:tblPr>
    <w:tcPr>
      <w:shd w:val="clear" w:color="auto" w:fill="D9E2F3"/>
    </w:tcPr>
  </w:style>
  <w:style w:type="table" w:customStyle="1" w:styleId="a0">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spacing w:after="120"/>
    </w:pPr>
    <w:tblPr>
      <w:tblStyleRowBandSize w:val="1"/>
      <w:tblStyleColBandSize w:val="1"/>
      <w:tblCellMar>
        <w:left w:w="115" w:type="dxa"/>
        <w:right w:w="115"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357B9A"/>
    <w:pPr>
      <w:spacing w:after="120"/>
    </w:pPr>
    <w:rPr>
      <w:rFonts w:eastAsia="Calibri" w:cs="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357B9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57B9A"/>
    <w:pPr>
      <w:tabs>
        <w:tab w:val="center" w:pos="4680"/>
        <w:tab w:val="right" w:pos="9360"/>
      </w:tabs>
    </w:pPr>
  </w:style>
  <w:style w:type="character" w:customStyle="1" w:styleId="HeaderChar">
    <w:name w:val="Header Char"/>
    <w:basedOn w:val="DefaultParagraphFont"/>
    <w:link w:val="Header"/>
    <w:uiPriority w:val="99"/>
    <w:rsid w:val="00357B9A"/>
    <w:rPr>
      <w:szCs w:val="22"/>
    </w:rPr>
  </w:style>
  <w:style w:type="paragraph" w:styleId="Footer">
    <w:name w:val="footer"/>
    <w:basedOn w:val="Normal"/>
    <w:link w:val="FooterChar"/>
    <w:uiPriority w:val="99"/>
    <w:unhideWhenUsed/>
    <w:rsid w:val="00357B9A"/>
    <w:pPr>
      <w:tabs>
        <w:tab w:val="center" w:pos="4680"/>
        <w:tab w:val="right" w:pos="9360"/>
      </w:tabs>
    </w:pPr>
  </w:style>
  <w:style w:type="character" w:customStyle="1" w:styleId="FooterChar">
    <w:name w:val="Footer Char"/>
    <w:basedOn w:val="DefaultParagraphFont"/>
    <w:link w:val="Footer"/>
    <w:uiPriority w:val="99"/>
    <w:rsid w:val="00357B9A"/>
    <w:rPr>
      <w:szCs w:val="22"/>
    </w:rPr>
  </w:style>
  <w:style w:type="character" w:styleId="Hyperlink">
    <w:name w:val="Hyperlink"/>
    <w:basedOn w:val="DefaultParagraphFont"/>
    <w:uiPriority w:val="99"/>
    <w:unhideWhenUsed/>
    <w:rsid w:val="009039D9"/>
    <w:rPr>
      <w:color w:val="0563C1" w:themeColor="hyperlink"/>
      <w:u w:val="single"/>
    </w:rPr>
  </w:style>
  <w:style w:type="character" w:customStyle="1" w:styleId="UnresolvedMention1">
    <w:name w:val="Unresolved Mention1"/>
    <w:basedOn w:val="DefaultParagraphFont"/>
    <w:uiPriority w:val="99"/>
    <w:semiHidden/>
    <w:unhideWhenUsed/>
    <w:rsid w:val="009039D9"/>
    <w:rPr>
      <w:color w:val="605E5C"/>
      <w:shd w:val="clear" w:color="auto" w:fill="E1DFDD"/>
    </w:rPr>
  </w:style>
  <w:style w:type="paragraph" w:styleId="BalloonText">
    <w:name w:val="Balloon Text"/>
    <w:basedOn w:val="Normal"/>
    <w:link w:val="BalloonTextChar"/>
    <w:uiPriority w:val="99"/>
    <w:semiHidden/>
    <w:unhideWhenUsed/>
    <w:rsid w:val="00E613CE"/>
    <w:rPr>
      <w:rFonts w:ascii="Tahoma" w:hAnsi="Tahoma" w:cs="Tahoma"/>
      <w:sz w:val="16"/>
      <w:szCs w:val="16"/>
    </w:rPr>
  </w:style>
  <w:style w:type="character" w:customStyle="1" w:styleId="BalloonTextChar">
    <w:name w:val="Balloon Text Char"/>
    <w:basedOn w:val="DefaultParagraphFont"/>
    <w:link w:val="BalloonText"/>
    <w:uiPriority w:val="99"/>
    <w:semiHidden/>
    <w:rsid w:val="00E613CE"/>
    <w:rPr>
      <w:rFonts w:ascii="Tahoma" w:hAnsi="Tahoma" w:cs="Tahoma"/>
      <w:sz w:val="16"/>
      <w:szCs w:val="16"/>
    </w:rPr>
  </w:style>
  <w:style w:type="character" w:styleId="CommentReference">
    <w:name w:val="annotation reference"/>
    <w:basedOn w:val="DefaultParagraphFont"/>
    <w:uiPriority w:val="99"/>
    <w:semiHidden/>
    <w:unhideWhenUsed/>
    <w:rsid w:val="00E613CE"/>
    <w:rPr>
      <w:sz w:val="16"/>
      <w:szCs w:val="16"/>
    </w:rPr>
  </w:style>
  <w:style w:type="paragraph" w:styleId="CommentText">
    <w:name w:val="annotation text"/>
    <w:basedOn w:val="Normal"/>
    <w:link w:val="CommentTextChar"/>
    <w:uiPriority w:val="99"/>
    <w:semiHidden/>
    <w:unhideWhenUsed/>
    <w:rsid w:val="00E613CE"/>
    <w:rPr>
      <w:sz w:val="20"/>
      <w:szCs w:val="20"/>
    </w:rPr>
  </w:style>
  <w:style w:type="character" w:customStyle="1" w:styleId="CommentTextChar">
    <w:name w:val="Comment Text Char"/>
    <w:basedOn w:val="DefaultParagraphFont"/>
    <w:link w:val="CommentText"/>
    <w:uiPriority w:val="99"/>
    <w:semiHidden/>
    <w:rsid w:val="00E613CE"/>
    <w:rPr>
      <w:sz w:val="20"/>
      <w:szCs w:val="20"/>
    </w:rPr>
  </w:style>
  <w:style w:type="paragraph" w:styleId="CommentSubject">
    <w:name w:val="annotation subject"/>
    <w:basedOn w:val="CommentText"/>
    <w:next w:val="CommentText"/>
    <w:link w:val="CommentSubjectChar"/>
    <w:uiPriority w:val="99"/>
    <w:semiHidden/>
    <w:unhideWhenUsed/>
    <w:rsid w:val="00E613CE"/>
    <w:rPr>
      <w:b/>
      <w:bCs/>
    </w:rPr>
  </w:style>
  <w:style w:type="character" w:customStyle="1" w:styleId="CommentSubjectChar">
    <w:name w:val="Comment Subject Char"/>
    <w:basedOn w:val="CommentTextChar"/>
    <w:link w:val="CommentSubject"/>
    <w:uiPriority w:val="99"/>
    <w:semiHidden/>
    <w:rsid w:val="00E613CE"/>
    <w:rPr>
      <w:b/>
      <w:bCs/>
      <w:sz w:val="20"/>
      <w:szCs w:val="20"/>
    </w:rPr>
  </w:style>
  <w:style w:type="paragraph" w:styleId="Revision">
    <w:name w:val="Revision"/>
    <w:hidden/>
    <w:uiPriority w:val="99"/>
    <w:semiHidden/>
    <w:rsid w:val="007E3609"/>
    <w:rPr>
      <w:szCs w:val="22"/>
    </w:rPr>
  </w:style>
  <w:style w:type="table" w:styleId="TableGrid">
    <w:name w:val="Table Grid"/>
    <w:basedOn w:val="TableNormal"/>
    <w:uiPriority w:val="39"/>
    <w:rsid w:val="003D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B3"/>
    <w:pPr>
      <w:ind w:left="720"/>
      <w:contextualSpacing/>
    </w:pPr>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rsid w:val="00FC6AA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12A2B"/>
    <w:rPr>
      <w:color w:val="605E5C"/>
      <w:shd w:val="clear" w:color="auto" w:fill="E1DFDD"/>
    </w:rPr>
  </w:style>
  <w:style w:type="character" w:customStyle="1" w:styleId="normaltextrun">
    <w:name w:val="normaltextrun"/>
    <w:basedOn w:val="DefaultParagraphFont"/>
    <w:rsid w:val="00C85158"/>
  </w:style>
  <w:style w:type="character" w:customStyle="1" w:styleId="eop">
    <w:name w:val="eop"/>
    <w:basedOn w:val="DefaultParagraphFont"/>
    <w:rsid w:val="00A1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lightle@eastsideus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AE3UkK2ToS/f1stRP+GW3WBSk/w==">AMUW2mUIs8uvbQK4uSM8w1LIcqtoM+ktSRetifrNgmnhtLxAP2AC9WtGqIV1cMVKaUQ/6g1pKXsJoNICSiD99RolnTGutbBfekKOsBdTOLy/gtxb1iG8/Go=</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B5A88FD468197B46AEC6AF0C2C3C2A11" ma:contentTypeVersion="6" ma:contentTypeDescription="Create a new document." ma:contentTypeScope="" ma:versionID="781b3772c50293a6fecfcbe17d03dc7a">
  <xsd:schema xmlns:xsd="http://www.w3.org/2001/XMLSchema" xmlns:xs="http://www.w3.org/2001/XMLSchema" xmlns:p="http://schemas.microsoft.com/office/2006/metadata/properties" xmlns:ns2="961f8de0-a888-4484-b687-8a4fc02b0df4" xmlns:ns3="5e0c4ede-4f35-4a6c-a2aa-03357ce4f8fc" targetNamespace="http://schemas.microsoft.com/office/2006/metadata/properties" ma:root="true" ma:fieldsID="06013e8caedabf8bf2b8df8b75ca64e3" ns2:_="" ns3:_="">
    <xsd:import namespace="961f8de0-a888-4484-b687-8a4fc02b0df4"/>
    <xsd:import namespace="5e0c4ede-4f35-4a6c-a2aa-03357ce4f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f8de0-a888-4484-b687-8a4fc02b0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0c4ede-4f35-4a6c-a2aa-03357ce4f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20AC4-E433-4053-9EAF-8489BA6071E7}">
  <ds:schemaRefs>
    <ds:schemaRef ds:uri="http://schemas.openxmlformats.org/officeDocument/2006/bibliography"/>
  </ds:schemaRefs>
</ds:datastoreItem>
</file>

<file path=customXml/itemProps2.xml><?xml version="1.0" encoding="utf-8"?>
<ds:datastoreItem xmlns:ds="http://schemas.openxmlformats.org/officeDocument/2006/customXml" ds:itemID="{18F2081E-357D-4331-A390-E1B18D7A84E1}">
  <ds:schemaRefs>
    <ds:schemaRef ds:uri="http://schemas.microsoft.com/sharepoint/v3/contenttype/forms"/>
  </ds:schemaRefs>
</ds:datastoreItem>
</file>

<file path=customXml/itemProps3.xml><?xml version="1.0" encoding="utf-8"?>
<ds:datastoreItem xmlns:ds="http://schemas.openxmlformats.org/officeDocument/2006/customXml" ds:itemID="{3D7BCE85-9924-41EA-BD85-7DABE0F6DC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76FD612-1474-4A77-8040-6E56B105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f8de0-a888-4484-b687-8a4fc02b0df4"/>
    <ds:schemaRef ds:uri="5e0c4ede-4f35-4a6c-a2aa-03357ce4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Expanded Learning Opportunities Grant Template - AB 86 (CA Dept of Education)</vt:lpstr>
    </vt:vector>
  </TitlesOfParts>
  <Company>California Department of Education</Company>
  <LinksUpToDate>false</LinksUpToDate>
  <CharactersWithSpaces>11191</CharactersWithSpaces>
  <SharedDoc>false</SharedDoc>
  <HLinks>
    <vt:vector size="6" baseType="variant">
      <vt:variant>
        <vt:i4>1245231</vt:i4>
      </vt:variant>
      <vt:variant>
        <vt:i4>0</vt:i4>
      </vt:variant>
      <vt:variant>
        <vt:i4>0</vt:i4>
      </vt:variant>
      <vt:variant>
        <vt:i4>5</vt:i4>
      </vt:variant>
      <vt:variant>
        <vt:lpwstr>mailto:jlightle@eastsideusd.org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Expanded Learning Opportunities Grant Template - AB 86 (CA Dept of Education)</dc:title>
  <dc:subject>Approved Expanded Learning Opportunities Grant template for LEAs to complete.</dc:subject>
  <dc:creator>Local Agency Systems Support Office</dc:creator>
  <cp:keywords/>
  <cp:lastModifiedBy>Donna Smith</cp:lastModifiedBy>
  <cp:revision>2</cp:revision>
  <cp:lastPrinted>2021-05-05T18:37:00Z</cp:lastPrinted>
  <dcterms:created xsi:type="dcterms:W3CDTF">2021-11-02T21:24:00Z</dcterms:created>
  <dcterms:modified xsi:type="dcterms:W3CDTF">2021-11-02T21:24:00Z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0x010100B5A88FD468197B46AEC6AF0C2C3C2A11</vt:lpwstr>
  </property>
</Properties>
</file>